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7A68F" w14:textId="0E77C71B" w:rsidR="00402A0A" w:rsidRPr="00402A0A" w:rsidRDefault="00402A0A" w:rsidP="00402A0A">
      <w:pPr>
        <w:shd w:val="clear" w:color="auto" w:fill="F9FAFE"/>
        <w:spacing w:after="300"/>
        <w:jc w:val="both"/>
        <w:rPr>
          <w:rFonts w:ascii="Lato" w:hAnsi="Lato"/>
        </w:rPr>
      </w:pPr>
      <w:r w:rsidRPr="00DF4E66">
        <w:rPr>
          <w:rFonts w:ascii="Lato" w:hAnsi="Lato"/>
        </w:rPr>
        <w:t xml:space="preserve">1.- ¿TIPOS DE </w:t>
      </w:r>
      <w:r w:rsidRPr="00402A0A">
        <w:rPr>
          <w:rFonts w:ascii="Lato" w:hAnsi="Lato"/>
        </w:rPr>
        <w:t>SINUSITIS FÚNGICA</w:t>
      </w:r>
      <w:r w:rsidRPr="00DF4E66">
        <w:rPr>
          <w:rFonts w:ascii="Lato" w:hAnsi="Lato"/>
        </w:rPr>
        <w:t>?</w:t>
      </w:r>
    </w:p>
    <w:p w14:paraId="77087E85" w14:textId="3EFE1E65" w:rsidR="00402A0A" w:rsidRPr="00402A0A" w:rsidRDefault="00402A0A" w:rsidP="00402A0A">
      <w:pPr>
        <w:shd w:val="clear" w:color="auto" w:fill="F9FAFE"/>
        <w:spacing w:after="300"/>
        <w:jc w:val="both"/>
        <w:rPr>
          <w:rFonts w:ascii="Lato" w:hAnsi="Lato"/>
        </w:rPr>
      </w:pPr>
      <w:r w:rsidRPr="00402A0A">
        <w:rPr>
          <w:rFonts w:ascii="Lato" w:hAnsi="Lato"/>
        </w:rPr>
        <w:t>Se distinguen dos tipos: invasiva (aguda, crónica y crónica granulomatosa) y no invasiva (sinusitis fúngica alérgica y micetoma).</w:t>
      </w:r>
    </w:p>
    <w:p w14:paraId="126D4E7C" w14:textId="3258D607" w:rsidR="00402A0A" w:rsidRPr="00402A0A" w:rsidRDefault="00402A0A" w:rsidP="00402A0A">
      <w:pPr>
        <w:shd w:val="clear" w:color="auto" w:fill="F9FAFE"/>
        <w:spacing w:after="300"/>
        <w:jc w:val="both"/>
        <w:rPr>
          <w:rFonts w:ascii="Lato" w:hAnsi="Lato"/>
        </w:rPr>
      </w:pPr>
      <w:r w:rsidRPr="00DF4E66">
        <w:rPr>
          <w:rFonts w:ascii="Lato" w:hAnsi="Lato"/>
        </w:rPr>
        <w:t>2.- ¿</w:t>
      </w:r>
      <w:r w:rsidR="00314761" w:rsidRPr="00DF4E66">
        <w:rPr>
          <w:rFonts w:ascii="Lato" w:hAnsi="Lato"/>
        </w:rPr>
        <w:t xml:space="preserve">A </w:t>
      </w:r>
      <w:r w:rsidRPr="00DF4E66">
        <w:rPr>
          <w:rFonts w:ascii="Lato" w:hAnsi="Lato"/>
        </w:rPr>
        <w:t>QU</w:t>
      </w:r>
      <w:r w:rsidR="00314761" w:rsidRPr="00DF4E66">
        <w:rPr>
          <w:rFonts w:ascii="Lato" w:hAnsi="Lato"/>
        </w:rPr>
        <w:t>IÉN AFECTA</w:t>
      </w:r>
      <w:r w:rsidRPr="00DF4E66">
        <w:rPr>
          <w:rFonts w:ascii="Lato" w:hAnsi="Lato"/>
        </w:rPr>
        <w:t xml:space="preserve"> LA </w:t>
      </w:r>
      <w:r w:rsidRPr="00402A0A">
        <w:rPr>
          <w:rFonts w:ascii="Lato" w:hAnsi="Lato"/>
        </w:rPr>
        <w:t>SINUSITIS FÚNGICA ALÉRGICA</w:t>
      </w:r>
      <w:r w:rsidRPr="00DF4E66">
        <w:rPr>
          <w:rFonts w:ascii="Lato" w:hAnsi="Lato"/>
        </w:rPr>
        <w:t xml:space="preserve"> Y </w:t>
      </w:r>
      <w:r w:rsidR="00314761" w:rsidRPr="00DF4E66">
        <w:rPr>
          <w:rFonts w:ascii="Lato" w:hAnsi="Lato"/>
        </w:rPr>
        <w:t>CUÁLES SON SUS CARACTERISTICAS CLINICAS?</w:t>
      </w:r>
    </w:p>
    <w:p w14:paraId="6A2C38FF" w14:textId="77777777" w:rsidR="00314761" w:rsidRPr="00DF4E66" w:rsidRDefault="00402A0A" w:rsidP="00402A0A">
      <w:pPr>
        <w:shd w:val="clear" w:color="auto" w:fill="F9FAFE"/>
        <w:spacing w:after="300"/>
        <w:jc w:val="both"/>
        <w:rPr>
          <w:rFonts w:ascii="Lato" w:hAnsi="Lato"/>
        </w:rPr>
      </w:pPr>
      <w:r w:rsidRPr="00402A0A">
        <w:rPr>
          <w:rFonts w:ascii="Lato" w:hAnsi="Lato"/>
        </w:rPr>
        <w:t xml:space="preserve">Aparece en pacientes inmunocompetentes a consecuencia de una reacción de hipersensibilidad a un hongo. Se manifiesta clínicamente como sinusitis crónica frecuentemente en paciente atópico. </w:t>
      </w:r>
    </w:p>
    <w:p w14:paraId="604066C2" w14:textId="788184B8" w:rsidR="00314761" w:rsidRPr="00DF4E66" w:rsidRDefault="00314761" w:rsidP="00402A0A">
      <w:pPr>
        <w:shd w:val="clear" w:color="auto" w:fill="F9FAFE"/>
        <w:spacing w:after="300"/>
        <w:jc w:val="both"/>
        <w:rPr>
          <w:rFonts w:ascii="Lato" w:hAnsi="Lato"/>
        </w:rPr>
      </w:pPr>
      <w:r w:rsidRPr="00DF4E66">
        <w:rPr>
          <w:rFonts w:ascii="Lato" w:hAnsi="Lato"/>
        </w:rPr>
        <w:t>3.- ¿</w:t>
      </w:r>
      <w:r w:rsidRPr="00DF4E66">
        <w:rPr>
          <w:rFonts w:ascii="Lato" w:hAnsi="Lato"/>
        </w:rPr>
        <w:t>CU</w:t>
      </w:r>
      <w:r w:rsidRPr="00DF4E66">
        <w:rPr>
          <w:rFonts w:ascii="Lato" w:hAnsi="Lato"/>
        </w:rPr>
        <w:t>Á</w:t>
      </w:r>
      <w:r w:rsidRPr="00DF4E66">
        <w:rPr>
          <w:rFonts w:ascii="Lato" w:hAnsi="Lato"/>
        </w:rPr>
        <w:t xml:space="preserve">LES SON </w:t>
      </w:r>
      <w:r w:rsidRPr="00DF4E66">
        <w:rPr>
          <w:rFonts w:ascii="Lato" w:hAnsi="Lato"/>
        </w:rPr>
        <w:t>LAS</w:t>
      </w:r>
      <w:r w:rsidRPr="00DF4E66">
        <w:rPr>
          <w:rFonts w:ascii="Lato" w:hAnsi="Lato"/>
        </w:rPr>
        <w:t xml:space="preserve"> CARACTER</w:t>
      </w:r>
      <w:r w:rsidRPr="00DF4E66">
        <w:rPr>
          <w:rFonts w:ascii="Lato" w:hAnsi="Lato"/>
        </w:rPr>
        <w:t>Í</w:t>
      </w:r>
      <w:r w:rsidRPr="00DF4E66">
        <w:rPr>
          <w:rFonts w:ascii="Lato" w:hAnsi="Lato"/>
        </w:rPr>
        <w:t>STICAS DE IMAGEN</w:t>
      </w:r>
      <w:r w:rsidRPr="00DF4E66">
        <w:rPr>
          <w:rFonts w:ascii="Lato" w:hAnsi="Lato"/>
        </w:rPr>
        <w:t xml:space="preserve"> </w:t>
      </w:r>
      <w:r w:rsidRPr="00DF4E66">
        <w:rPr>
          <w:rFonts w:ascii="Lato" w:hAnsi="Lato"/>
        </w:rPr>
        <w:t xml:space="preserve">LA </w:t>
      </w:r>
      <w:r w:rsidRPr="00402A0A">
        <w:rPr>
          <w:rFonts w:ascii="Lato" w:hAnsi="Lato"/>
        </w:rPr>
        <w:t>SINUSITIS FÚNGICA ALÉRGICA</w:t>
      </w:r>
      <w:r w:rsidRPr="00DF4E66">
        <w:rPr>
          <w:rFonts w:ascii="Lato" w:hAnsi="Lato"/>
        </w:rPr>
        <w:t>?</w:t>
      </w:r>
    </w:p>
    <w:p w14:paraId="78E95194" w14:textId="7A104022" w:rsidR="00402A0A" w:rsidRPr="00DF4E66" w:rsidRDefault="00402A0A" w:rsidP="00402A0A">
      <w:pPr>
        <w:shd w:val="clear" w:color="auto" w:fill="F9FAFE"/>
        <w:spacing w:after="300"/>
        <w:jc w:val="both"/>
        <w:rPr>
          <w:rFonts w:ascii="Lato" w:hAnsi="Lato"/>
        </w:rPr>
      </w:pPr>
      <w:r w:rsidRPr="00402A0A">
        <w:rPr>
          <w:rFonts w:ascii="Lato" w:hAnsi="Lato"/>
        </w:rPr>
        <w:t>Generalmente afecta a múltiples senos que en la TC se muestran ocupados por material de alta densidad, a veces con calcificaciones, que expanden y adelgazan las paredes, incluso pueden erosionarlas (Fig. 12). En la RM, su intensidad de señal depende del contenido en agua, proteinas y hongos. Tras la administración de contraste se produce realce periférico de la mucosa.</w:t>
      </w:r>
    </w:p>
    <w:p w14:paraId="382DFCFB" w14:textId="5771855A" w:rsidR="00FF3A5B" w:rsidRPr="00DF4E66" w:rsidRDefault="00FF3A5B" w:rsidP="00FF3A5B">
      <w:r w:rsidRPr="00DF4E66">
        <w:fldChar w:fldCharType="begin"/>
      </w:r>
      <w:r w:rsidRPr="00DF4E66">
        <w:instrText xml:space="preserve"> INCLUDEPICTURE "https://epos.myesr.org/posterimage/esr/seram2014/124616/media/570585" \* MERGEFORMATINET </w:instrText>
      </w:r>
      <w:r w:rsidRPr="00DF4E66">
        <w:fldChar w:fldCharType="separate"/>
      </w:r>
      <w:r w:rsidRPr="00DF4E66">
        <w:rPr>
          <w:noProof/>
        </w:rPr>
        <w:drawing>
          <wp:inline distT="0" distB="0" distL="0" distR="0" wp14:anchorId="5276F1FB" wp14:editId="2634ECEA">
            <wp:extent cx="5612130" cy="420751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4207510"/>
                    </a:xfrm>
                    <a:prstGeom prst="rect">
                      <a:avLst/>
                    </a:prstGeom>
                    <a:noFill/>
                    <a:ln>
                      <a:noFill/>
                    </a:ln>
                  </pic:spPr>
                </pic:pic>
              </a:graphicData>
            </a:graphic>
          </wp:inline>
        </w:drawing>
      </w:r>
      <w:r w:rsidRPr="00DF4E66">
        <w:fldChar w:fldCharType="end"/>
      </w:r>
    </w:p>
    <w:p w14:paraId="5C795DA6" w14:textId="094A9CC5" w:rsidR="00FF3A5B" w:rsidRPr="00402A0A" w:rsidRDefault="00FF3A5B" w:rsidP="00402A0A">
      <w:pPr>
        <w:shd w:val="clear" w:color="auto" w:fill="F9FAFE"/>
        <w:spacing w:after="300"/>
        <w:jc w:val="both"/>
        <w:rPr>
          <w:rFonts w:ascii="Lato" w:hAnsi="Lato"/>
        </w:rPr>
      </w:pPr>
      <w:r w:rsidRPr="00DF4E66">
        <w:rPr>
          <w:rFonts w:ascii="Lato" w:hAnsi="Lato"/>
        </w:rPr>
        <w:lastRenderedPageBreak/>
        <w:t>FIG. 12 SIN</w:t>
      </w:r>
      <w:r w:rsidRPr="00FF3A5B">
        <w:rPr>
          <w:rFonts w:ascii="Lato" w:hAnsi="Lato"/>
        </w:rPr>
        <w:t>USITIS FÚNGICA ALÉRGICA. TC de senos paranasales sin CIV. Ocupación del seno maxilar derecho con calcificaciones internas, que condiciona adelgazamiento de pared ósea anteroinferior. En la grasa premaxilar derecha existe otra lesión que desplaza anteriormente a los músculos bucinador y risorio y ejerce leve efecto de masa sobre superficie cutánea adyacente, que se demostró correspondía a una adenopatía. La paciente refería crecimiento de la mejilla de años de evolución. El cultivo demostró Aspergillus fumigatus</w:t>
      </w:r>
    </w:p>
    <w:p w14:paraId="29EB9174" w14:textId="2D6C0C72" w:rsidR="00402A0A" w:rsidRPr="00402A0A" w:rsidRDefault="00314761" w:rsidP="00402A0A">
      <w:pPr>
        <w:shd w:val="clear" w:color="auto" w:fill="F9FAFE"/>
        <w:spacing w:after="300"/>
        <w:jc w:val="both"/>
        <w:rPr>
          <w:rFonts w:ascii="Lato" w:hAnsi="Lato"/>
        </w:rPr>
      </w:pPr>
      <w:r w:rsidRPr="00DF4E66">
        <w:rPr>
          <w:rFonts w:ascii="Lato" w:hAnsi="Lato"/>
        </w:rPr>
        <w:t xml:space="preserve">4.- </w:t>
      </w:r>
      <w:r w:rsidR="00402A0A" w:rsidRPr="00402A0A">
        <w:rPr>
          <w:rFonts w:ascii="Lato" w:hAnsi="Lato"/>
        </w:rPr>
        <w:t> </w:t>
      </w:r>
      <w:r w:rsidRPr="00DF4E66">
        <w:rPr>
          <w:rFonts w:ascii="Lato" w:hAnsi="Lato"/>
        </w:rPr>
        <w:t xml:space="preserve">¿A QUIÉN AFECTA LA </w:t>
      </w:r>
      <w:r w:rsidRPr="00402A0A">
        <w:rPr>
          <w:rFonts w:ascii="Lato" w:hAnsi="Lato"/>
        </w:rPr>
        <w:t xml:space="preserve">SINUSITIS FÚNGICA </w:t>
      </w:r>
      <w:r w:rsidRPr="00DF4E66">
        <w:rPr>
          <w:rFonts w:ascii="Lato" w:hAnsi="Lato"/>
        </w:rPr>
        <w:t>INVASIVA</w:t>
      </w:r>
      <w:r w:rsidRPr="00DF4E66">
        <w:rPr>
          <w:rFonts w:ascii="Lato" w:hAnsi="Lato"/>
        </w:rPr>
        <w:t>?</w:t>
      </w:r>
    </w:p>
    <w:p w14:paraId="00863148" w14:textId="77777777" w:rsidR="00314761" w:rsidRPr="00DF4E66" w:rsidRDefault="00402A0A" w:rsidP="00402A0A">
      <w:pPr>
        <w:shd w:val="clear" w:color="auto" w:fill="F9FAFE"/>
        <w:spacing w:after="300"/>
        <w:jc w:val="both"/>
        <w:rPr>
          <w:rFonts w:ascii="Lato" w:hAnsi="Lato"/>
        </w:rPr>
      </w:pPr>
      <w:r w:rsidRPr="00402A0A">
        <w:rPr>
          <w:rFonts w:ascii="Lato" w:hAnsi="Lato"/>
        </w:rPr>
        <w:t>Sucede en pacientes inmunocomprometidos (DM mal controlada...).</w:t>
      </w:r>
    </w:p>
    <w:p w14:paraId="371D4038" w14:textId="4988E45E" w:rsidR="00314761" w:rsidRPr="00DF4E66" w:rsidRDefault="00314761" w:rsidP="00314761">
      <w:pPr>
        <w:shd w:val="clear" w:color="auto" w:fill="F9FAFE"/>
        <w:spacing w:after="300"/>
        <w:jc w:val="both"/>
        <w:rPr>
          <w:rFonts w:ascii="Lato" w:hAnsi="Lato"/>
        </w:rPr>
      </w:pPr>
      <w:r w:rsidRPr="00DF4E66">
        <w:rPr>
          <w:rFonts w:ascii="Lato" w:hAnsi="Lato"/>
        </w:rPr>
        <w:t>5</w:t>
      </w:r>
      <w:r w:rsidRPr="00DF4E66">
        <w:rPr>
          <w:rFonts w:ascii="Lato" w:hAnsi="Lato"/>
        </w:rPr>
        <w:t xml:space="preserve">.- ¿CUÁLES SON LAS CARACTERÍSTICAS DE IMAGEN LA </w:t>
      </w:r>
      <w:r w:rsidRPr="00402A0A">
        <w:rPr>
          <w:rFonts w:ascii="Lato" w:hAnsi="Lato"/>
        </w:rPr>
        <w:t xml:space="preserve">SINUSITIS FÚNGICA </w:t>
      </w:r>
      <w:r w:rsidRPr="00DF4E66">
        <w:rPr>
          <w:rFonts w:ascii="Lato" w:hAnsi="Lato"/>
        </w:rPr>
        <w:t>INVASIVA</w:t>
      </w:r>
      <w:r w:rsidRPr="00DF4E66">
        <w:rPr>
          <w:rFonts w:ascii="Lato" w:hAnsi="Lato"/>
        </w:rPr>
        <w:t>?</w:t>
      </w:r>
    </w:p>
    <w:p w14:paraId="763CC360" w14:textId="0628BA87" w:rsidR="00402A0A" w:rsidRPr="00402A0A" w:rsidRDefault="00402A0A" w:rsidP="00FF3A5B">
      <w:pPr>
        <w:shd w:val="clear" w:color="auto" w:fill="F9FAFE"/>
        <w:spacing w:after="300"/>
        <w:jc w:val="both"/>
        <w:rPr>
          <w:rFonts w:ascii="Lato" w:hAnsi="Lato"/>
        </w:rPr>
      </w:pPr>
      <w:r w:rsidRPr="00402A0A">
        <w:rPr>
          <w:rFonts w:ascii="Lato" w:hAnsi="Lato"/>
        </w:rPr>
        <w:t xml:space="preserve"> En TC se observa opacificación de un seno, engrosamiento mucoso e infiltración en partes blandas adyacentes. Puede existir destrucción ósea agresiva con extensión intracraneal u orbitaria; aunque también se ha descrito diseminación hemática sin que existan erosiones óseas. En MR su señal es variable pero suele ser baja en T1 y T2 por la presencia de hongos. La TC valora mejor la destrucción ósea y la RM la posible extensión hacia senos cavernosos (engrosamiento de partes blandas, trombosis), órbita( cambios inflamatorios en la grasa orbitaria, musculatura extraocular , proptosis), intracraneal (realce leptomeníngeo, cerebritis, granulomas, abscesos). El estudio angiográfico puede mostrar, estrechamiento, disección, trombosis, aneurismas.</w:t>
      </w:r>
    </w:p>
    <w:p w14:paraId="201AECCE" w14:textId="0B1D97DD" w:rsidR="00FF3A5B" w:rsidRPr="00DF4E66" w:rsidRDefault="00FF3A5B" w:rsidP="00FF3A5B">
      <w:r w:rsidRPr="00DF4E66">
        <w:fldChar w:fldCharType="begin"/>
      </w:r>
      <w:r w:rsidRPr="00DF4E66">
        <w:instrText xml:space="preserve"> INCLUDEPICTURE "https://prod-images-static.radiopaedia.org/images/6687922/4af3e0758c3dd612cef78d6edbb41a_thumb.jpg" \* MERGEFORMATINET </w:instrText>
      </w:r>
      <w:r w:rsidRPr="00DF4E66">
        <w:fldChar w:fldCharType="separate"/>
      </w:r>
      <w:r w:rsidRPr="00DF4E66">
        <w:rPr>
          <w:noProof/>
        </w:rPr>
        <w:drawing>
          <wp:inline distT="0" distB="0" distL="0" distR="0" wp14:anchorId="6CA6C144" wp14:editId="38DD74F7">
            <wp:extent cx="2232660" cy="1945640"/>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2660" cy="1945640"/>
                    </a:xfrm>
                    <a:prstGeom prst="rect">
                      <a:avLst/>
                    </a:prstGeom>
                    <a:noFill/>
                    <a:ln>
                      <a:noFill/>
                    </a:ln>
                  </pic:spPr>
                </pic:pic>
              </a:graphicData>
            </a:graphic>
          </wp:inline>
        </w:drawing>
      </w:r>
      <w:r w:rsidRPr="00DF4E66">
        <w:fldChar w:fldCharType="end"/>
      </w:r>
      <w:r w:rsidRPr="00DF4E66">
        <w:fldChar w:fldCharType="begin"/>
      </w:r>
      <w:r w:rsidRPr="00DF4E66">
        <w:instrText xml:space="preserve"> INCLUDEPICTURE "https://prod-images-static.radiopaedia.org/images/10557591/9f40eaefa54296c3554fbe5d2c5d3a_thumb.jpg" \* MERGEFORMATINET </w:instrText>
      </w:r>
      <w:r w:rsidRPr="00DF4E66">
        <w:fldChar w:fldCharType="separate"/>
      </w:r>
      <w:r w:rsidRPr="00DF4E66">
        <w:rPr>
          <w:noProof/>
        </w:rPr>
        <w:drawing>
          <wp:inline distT="0" distB="0" distL="0" distR="0" wp14:anchorId="0957AB44" wp14:editId="0352091A">
            <wp:extent cx="2232660" cy="2232660"/>
            <wp:effectExtent l="0" t="0" r="254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2660" cy="2232660"/>
                    </a:xfrm>
                    <a:prstGeom prst="rect">
                      <a:avLst/>
                    </a:prstGeom>
                    <a:noFill/>
                    <a:ln>
                      <a:noFill/>
                    </a:ln>
                  </pic:spPr>
                </pic:pic>
              </a:graphicData>
            </a:graphic>
          </wp:inline>
        </w:drawing>
      </w:r>
      <w:r w:rsidRPr="00DF4E66">
        <w:fldChar w:fldCharType="end"/>
      </w:r>
    </w:p>
    <w:p w14:paraId="54513B66" w14:textId="43FB6B75" w:rsidR="00FF3A5B" w:rsidRPr="00DF4E66" w:rsidRDefault="00FF3A5B" w:rsidP="00FF3A5B"/>
    <w:p w14:paraId="65EFBF42" w14:textId="77777777" w:rsidR="00373BCD" w:rsidRPr="00DF4E66" w:rsidRDefault="00373BCD" w:rsidP="00FF3A5B">
      <w:pPr>
        <w:shd w:val="clear" w:color="auto" w:fill="F9FAFE"/>
        <w:spacing w:after="300"/>
        <w:rPr>
          <w:rFonts w:ascii="Lato" w:hAnsi="Lato"/>
          <w:b/>
          <w:bCs/>
          <w:u w:val="single"/>
        </w:rPr>
      </w:pPr>
    </w:p>
    <w:p w14:paraId="6298FD0C" w14:textId="43E6F785" w:rsidR="00FF3A5B" w:rsidRPr="00FF3A5B" w:rsidRDefault="00FF3A5B" w:rsidP="00FF3A5B">
      <w:pPr>
        <w:shd w:val="clear" w:color="auto" w:fill="F9FAFE"/>
        <w:spacing w:after="300"/>
        <w:rPr>
          <w:rFonts w:ascii="Lato" w:hAnsi="Lato"/>
        </w:rPr>
      </w:pPr>
      <w:r w:rsidRPr="00FF3A5B">
        <w:rPr>
          <w:rFonts w:ascii="Lato" w:hAnsi="Lato"/>
        </w:rPr>
        <w:t> </w:t>
      </w:r>
    </w:p>
    <w:p w14:paraId="701E058E" w14:textId="742249F7" w:rsidR="00373BCD" w:rsidRPr="00373BCD" w:rsidRDefault="00373BCD" w:rsidP="00373BCD">
      <w:pPr>
        <w:pStyle w:val="NormalWeb"/>
        <w:shd w:val="clear" w:color="auto" w:fill="F9FAFE"/>
        <w:spacing w:before="0" w:beforeAutospacing="0" w:after="300" w:afterAutospacing="0"/>
        <w:rPr>
          <w:rFonts w:ascii="Lato" w:hAnsi="Lato"/>
        </w:rPr>
      </w:pPr>
      <w:r w:rsidRPr="00DF4E66">
        <w:rPr>
          <w:rFonts w:ascii="Lato" w:hAnsi="Lato"/>
        </w:rPr>
        <w:t>6.- ¿COMPOSICION HITOLOGICA DE LOS MENINGIOMAS?</w:t>
      </w:r>
    </w:p>
    <w:p w14:paraId="5C910013" w14:textId="723A58CC" w:rsidR="00373BCD" w:rsidRPr="00DF4E66" w:rsidRDefault="00373BCD" w:rsidP="00FF3A5B">
      <w:pPr>
        <w:shd w:val="clear" w:color="auto" w:fill="F9FAFE"/>
        <w:spacing w:after="300"/>
        <w:rPr>
          <w:rFonts w:ascii="Lato" w:hAnsi="Lato"/>
        </w:rPr>
      </w:pPr>
      <w:r w:rsidRPr="00373BCD">
        <w:rPr>
          <w:rFonts w:ascii="Lato" w:hAnsi="Lato"/>
        </w:rPr>
        <w:lastRenderedPageBreak/>
        <w:t>Los meningiomas constituye el tumor intracraneal primario más frecuente (15-20 %) y el tumor extraparenquimatoso más frecuente en el compartimento supratentorial en el adulto.</w:t>
      </w:r>
      <w:r w:rsidRPr="00DF4E66">
        <w:rPr>
          <w:rFonts w:ascii="Lato" w:hAnsi="Lato"/>
        </w:rPr>
        <w:t xml:space="preserve"> </w:t>
      </w:r>
      <w:r w:rsidRPr="00373BCD">
        <w:rPr>
          <w:rFonts w:ascii="Lato" w:hAnsi="Lato"/>
        </w:rPr>
        <w:t>En fosa posterior es el Segundo tumor extraparenquimatoso después del schwannoma.</w:t>
      </w:r>
      <w:r w:rsidRPr="00DF4E66">
        <w:rPr>
          <w:rFonts w:ascii="Lato" w:hAnsi="Lato"/>
        </w:rPr>
        <w:t xml:space="preserve"> </w:t>
      </w:r>
      <w:r w:rsidRPr="00373BCD">
        <w:rPr>
          <w:rFonts w:ascii="Lato" w:hAnsi="Lato"/>
        </w:rPr>
        <w:t>Los meningiomas son tumores derivados de células leptomeníngeas y, por lo tanto, pueden localizarse en cualquier punto del sistema nervioso central</w:t>
      </w:r>
      <w:r w:rsidRPr="00DF4E66">
        <w:rPr>
          <w:rFonts w:ascii="Lato" w:hAnsi="Lato"/>
        </w:rPr>
        <w:t>.</w:t>
      </w:r>
    </w:p>
    <w:p w14:paraId="3DF4F20D" w14:textId="77AED616" w:rsidR="00FF3A5B" w:rsidRPr="00FF3A5B" w:rsidRDefault="00350A9D" w:rsidP="00FF3A5B">
      <w:pPr>
        <w:shd w:val="clear" w:color="auto" w:fill="F9FAFE"/>
        <w:spacing w:after="300"/>
        <w:rPr>
          <w:rFonts w:ascii="Lato" w:hAnsi="Lato"/>
        </w:rPr>
      </w:pPr>
      <w:r w:rsidRPr="00DF4E66">
        <w:rPr>
          <w:rFonts w:ascii="Lato" w:hAnsi="Lato"/>
        </w:rPr>
        <w:t xml:space="preserve">7.- </w:t>
      </w:r>
      <w:r w:rsidR="00373BCD" w:rsidRPr="00DF4E66">
        <w:rPr>
          <w:rFonts w:ascii="Lato" w:hAnsi="Lato"/>
        </w:rPr>
        <w:t xml:space="preserve">¿CUÁL ES LA LOCALIZACION </w:t>
      </w:r>
      <w:r w:rsidRPr="00DF4E66">
        <w:rPr>
          <w:rFonts w:ascii="Lato" w:hAnsi="Lato"/>
        </w:rPr>
        <w:t>MÁS FRECUENTE DE LOS MENINGIOMAS?</w:t>
      </w:r>
    </w:p>
    <w:p w14:paraId="78F6AD58" w14:textId="77777777" w:rsidR="00FF3A5B" w:rsidRPr="00FF3A5B" w:rsidRDefault="00FF3A5B" w:rsidP="00FF3A5B">
      <w:pPr>
        <w:numPr>
          <w:ilvl w:val="0"/>
          <w:numId w:val="1"/>
        </w:numPr>
        <w:shd w:val="clear" w:color="auto" w:fill="F9FAFE"/>
        <w:spacing w:before="100" w:beforeAutospacing="1" w:after="100" w:afterAutospacing="1"/>
        <w:jc w:val="both"/>
        <w:rPr>
          <w:rFonts w:ascii="Lato" w:hAnsi="Lato"/>
        </w:rPr>
      </w:pPr>
      <w:r w:rsidRPr="00FF3A5B">
        <w:rPr>
          <w:rFonts w:ascii="Lato" w:hAnsi="Lato"/>
        </w:rPr>
        <w:t>85 - 90% supratentorial.</w:t>
      </w:r>
    </w:p>
    <w:p w14:paraId="2A64F3E5" w14:textId="77777777" w:rsidR="00FF3A5B" w:rsidRPr="00FF3A5B" w:rsidRDefault="00FF3A5B" w:rsidP="00FF3A5B">
      <w:pPr>
        <w:numPr>
          <w:ilvl w:val="1"/>
          <w:numId w:val="1"/>
        </w:numPr>
        <w:shd w:val="clear" w:color="auto" w:fill="F9FAFE"/>
        <w:spacing w:before="100" w:beforeAutospacing="1" w:after="100" w:afterAutospacing="1"/>
        <w:jc w:val="both"/>
        <w:rPr>
          <w:rFonts w:ascii="Lato" w:hAnsi="Lato"/>
        </w:rPr>
      </w:pPr>
      <w:r w:rsidRPr="00FF3A5B">
        <w:rPr>
          <w:rFonts w:ascii="Lato" w:hAnsi="Lato"/>
        </w:rPr>
        <w:t>45% parasagital, convexidad.</w:t>
      </w:r>
    </w:p>
    <w:p w14:paraId="7DED5375" w14:textId="77777777" w:rsidR="00FF3A5B" w:rsidRPr="00FF3A5B" w:rsidRDefault="00FF3A5B" w:rsidP="00FF3A5B">
      <w:pPr>
        <w:numPr>
          <w:ilvl w:val="1"/>
          <w:numId w:val="1"/>
        </w:numPr>
        <w:shd w:val="clear" w:color="auto" w:fill="F9FAFE"/>
        <w:spacing w:before="100" w:beforeAutospacing="1" w:after="100" w:afterAutospacing="1"/>
        <w:jc w:val="both"/>
        <w:rPr>
          <w:rFonts w:ascii="Lato" w:hAnsi="Lato"/>
        </w:rPr>
      </w:pPr>
      <w:r w:rsidRPr="00FF3A5B">
        <w:rPr>
          <w:rFonts w:ascii="Lato" w:hAnsi="Lato"/>
        </w:rPr>
        <w:t>15 - 20% esfenoidal</w:t>
      </w:r>
    </w:p>
    <w:p w14:paraId="14A7A359" w14:textId="77777777" w:rsidR="00FF3A5B" w:rsidRPr="00FF3A5B" w:rsidRDefault="00FF3A5B" w:rsidP="00FF3A5B">
      <w:pPr>
        <w:numPr>
          <w:ilvl w:val="1"/>
          <w:numId w:val="1"/>
        </w:numPr>
        <w:shd w:val="clear" w:color="auto" w:fill="F9FAFE"/>
        <w:spacing w:before="100" w:beforeAutospacing="1" w:after="100" w:afterAutospacing="1"/>
        <w:jc w:val="both"/>
        <w:rPr>
          <w:rFonts w:ascii="Lato" w:hAnsi="Lato"/>
        </w:rPr>
      </w:pPr>
      <w:r w:rsidRPr="00FF3A5B">
        <w:rPr>
          <w:rFonts w:ascii="Lato" w:hAnsi="Lato"/>
        </w:rPr>
        <w:t>10% surco olfatorio</w:t>
      </w:r>
    </w:p>
    <w:p w14:paraId="7E3239E9" w14:textId="77777777" w:rsidR="00FF3A5B" w:rsidRPr="00FF3A5B" w:rsidRDefault="00FF3A5B" w:rsidP="00FF3A5B">
      <w:pPr>
        <w:numPr>
          <w:ilvl w:val="1"/>
          <w:numId w:val="1"/>
        </w:numPr>
        <w:shd w:val="clear" w:color="auto" w:fill="F9FAFE"/>
        <w:spacing w:before="100" w:beforeAutospacing="1" w:after="100" w:afterAutospacing="1"/>
        <w:jc w:val="both"/>
        <w:rPr>
          <w:rFonts w:ascii="Lato" w:hAnsi="Lato"/>
        </w:rPr>
      </w:pPr>
      <w:r w:rsidRPr="00FF3A5B">
        <w:rPr>
          <w:rFonts w:ascii="Lato" w:hAnsi="Lato"/>
        </w:rPr>
        <w:t>5 - 10% paraselar.</w:t>
      </w:r>
    </w:p>
    <w:p w14:paraId="67E4A2C4" w14:textId="77777777" w:rsidR="00FF3A5B" w:rsidRPr="00FF3A5B" w:rsidRDefault="00FF3A5B" w:rsidP="00FF3A5B">
      <w:pPr>
        <w:numPr>
          <w:ilvl w:val="0"/>
          <w:numId w:val="2"/>
        </w:numPr>
        <w:shd w:val="clear" w:color="auto" w:fill="F9FAFE"/>
        <w:spacing w:before="100" w:beforeAutospacing="1" w:after="100" w:afterAutospacing="1"/>
        <w:jc w:val="both"/>
        <w:rPr>
          <w:rFonts w:ascii="Lato" w:hAnsi="Lato"/>
        </w:rPr>
      </w:pPr>
      <w:r w:rsidRPr="00FF3A5B">
        <w:rPr>
          <w:rFonts w:ascii="Lato" w:hAnsi="Lato"/>
        </w:rPr>
        <w:t>5 - 10% infratentorial.</w:t>
      </w:r>
    </w:p>
    <w:p w14:paraId="4945349C" w14:textId="77777777" w:rsidR="00FF3A5B" w:rsidRPr="00FF3A5B" w:rsidRDefault="00FF3A5B" w:rsidP="00FF3A5B">
      <w:pPr>
        <w:numPr>
          <w:ilvl w:val="0"/>
          <w:numId w:val="3"/>
        </w:numPr>
        <w:shd w:val="clear" w:color="auto" w:fill="F9FAFE"/>
        <w:spacing w:before="100" w:beforeAutospacing="1" w:after="100" w:afterAutospacing="1"/>
        <w:jc w:val="both"/>
        <w:rPr>
          <w:rFonts w:ascii="Lato" w:hAnsi="Lato"/>
        </w:rPr>
      </w:pPr>
      <w:r w:rsidRPr="00FF3A5B">
        <w:rPr>
          <w:rFonts w:ascii="Lato" w:hAnsi="Lato"/>
        </w:rPr>
        <w:t>&lt; 5% intracraneal.</w:t>
      </w:r>
    </w:p>
    <w:p w14:paraId="7F0024BA" w14:textId="77777777" w:rsidR="00FF3A5B" w:rsidRPr="00FF3A5B" w:rsidRDefault="00FF3A5B" w:rsidP="00FF3A5B">
      <w:pPr>
        <w:numPr>
          <w:ilvl w:val="1"/>
          <w:numId w:val="3"/>
        </w:numPr>
        <w:shd w:val="clear" w:color="auto" w:fill="F9FAFE"/>
        <w:spacing w:before="100" w:beforeAutospacing="1" w:after="100" w:afterAutospacing="1"/>
        <w:jc w:val="both"/>
        <w:rPr>
          <w:rFonts w:ascii="Lato" w:hAnsi="Lato"/>
        </w:rPr>
      </w:pPr>
      <w:r w:rsidRPr="00FF3A5B">
        <w:rPr>
          <w:rFonts w:ascii="Lato" w:hAnsi="Lato"/>
        </w:rPr>
        <w:t>meningioma intraventricular.</w:t>
      </w:r>
    </w:p>
    <w:p w14:paraId="438DEE87" w14:textId="77777777" w:rsidR="00FF3A5B" w:rsidRPr="00FF3A5B" w:rsidRDefault="00FF3A5B" w:rsidP="00FF3A5B">
      <w:pPr>
        <w:numPr>
          <w:ilvl w:val="1"/>
          <w:numId w:val="3"/>
        </w:numPr>
        <w:shd w:val="clear" w:color="auto" w:fill="F9FAFE"/>
        <w:spacing w:before="100" w:beforeAutospacing="1" w:after="100" w:afterAutospacing="1"/>
        <w:jc w:val="both"/>
        <w:rPr>
          <w:rFonts w:ascii="Lato" w:hAnsi="Lato"/>
        </w:rPr>
      </w:pPr>
      <w:r w:rsidRPr="00FF3A5B">
        <w:rPr>
          <w:rFonts w:ascii="Lato" w:hAnsi="Lato"/>
        </w:rPr>
        <w:t>meningioma del nervio óptico.</w:t>
      </w:r>
    </w:p>
    <w:p w14:paraId="37048DBB" w14:textId="77777777" w:rsidR="00FF3A5B" w:rsidRPr="00FF3A5B" w:rsidRDefault="00FF3A5B" w:rsidP="00FF3A5B">
      <w:pPr>
        <w:numPr>
          <w:ilvl w:val="1"/>
          <w:numId w:val="3"/>
        </w:numPr>
        <w:shd w:val="clear" w:color="auto" w:fill="F9FAFE"/>
        <w:spacing w:before="100" w:beforeAutospacing="1" w:after="100" w:afterAutospacing="1"/>
        <w:jc w:val="both"/>
        <w:rPr>
          <w:rFonts w:ascii="Lato" w:hAnsi="Lato"/>
        </w:rPr>
      </w:pPr>
      <w:r w:rsidRPr="00FF3A5B">
        <w:rPr>
          <w:rFonts w:ascii="Lato" w:hAnsi="Lato"/>
        </w:rPr>
        <w:t>glándula pineal.</w:t>
      </w:r>
    </w:p>
    <w:p w14:paraId="44BE0CDC" w14:textId="77777777" w:rsidR="00FF3A5B" w:rsidRPr="00FF3A5B" w:rsidRDefault="00FF3A5B" w:rsidP="00FF3A5B">
      <w:pPr>
        <w:numPr>
          <w:ilvl w:val="0"/>
          <w:numId w:val="4"/>
        </w:numPr>
        <w:shd w:val="clear" w:color="auto" w:fill="F9FAFE"/>
        <w:spacing w:before="100" w:beforeAutospacing="1" w:after="100" w:afterAutospacing="1"/>
        <w:jc w:val="both"/>
        <w:rPr>
          <w:rFonts w:ascii="Lato" w:hAnsi="Lato"/>
        </w:rPr>
      </w:pPr>
      <w:r w:rsidRPr="00FF3A5B">
        <w:rPr>
          <w:rFonts w:ascii="Lato" w:hAnsi="Lato"/>
        </w:rPr>
        <w:t>&lt;1% "extradural"</w:t>
      </w:r>
    </w:p>
    <w:p w14:paraId="4A002A2A" w14:textId="77777777" w:rsidR="00FF3A5B" w:rsidRPr="00FF3A5B" w:rsidRDefault="00FF3A5B" w:rsidP="00FF3A5B">
      <w:pPr>
        <w:numPr>
          <w:ilvl w:val="1"/>
          <w:numId w:val="4"/>
        </w:numPr>
        <w:shd w:val="clear" w:color="auto" w:fill="F9FAFE"/>
        <w:spacing w:before="100" w:beforeAutospacing="1" w:after="100" w:afterAutospacing="1"/>
        <w:jc w:val="both"/>
        <w:rPr>
          <w:rFonts w:ascii="Lato" w:hAnsi="Lato"/>
        </w:rPr>
      </w:pPr>
      <w:r w:rsidRPr="00FF3A5B">
        <w:rPr>
          <w:rFonts w:ascii="Lato" w:hAnsi="Lato"/>
        </w:rPr>
        <w:t>cavidad sinusal : el más común.</w:t>
      </w:r>
    </w:p>
    <w:p w14:paraId="035E69B9" w14:textId="77777777" w:rsidR="00FF3A5B" w:rsidRPr="00FF3A5B" w:rsidRDefault="00FF3A5B" w:rsidP="00FF3A5B">
      <w:pPr>
        <w:numPr>
          <w:ilvl w:val="1"/>
          <w:numId w:val="4"/>
        </w:numPr>
        <w:shd w:val="clear" w:color="auto" w:fill="F9FAFE"/>
        <w:spacing w:before="100" w:beforeAutospacing="1" w:after="100" w:afterAutospacing="1"/>
        <w:jc w:val="both"/>
        <w:rPr>
          <w:rFonts w:ascii="Lato" w:hAnsi="Lato"/>
        </w:rPr>
      </w:pPr>
      <w:r w:rsidRPr="00FF3A5B">
        <w:rPr>
          <w:rFonts w:ascii="Lato" w:hAnsi="Lato"/>
        </w:rPr>
        <w:t>iintraóseo.</w:t>
      </w:r>
    </w:p>
    <w:p w14:paraId="580A973A" w14:textId="77777777" w:rsidR="00FF3A5B" w:rsidRPr="00FF3A5B" w:rsidRDefault="00FF3A5B" w:rsidP="00FF3A5B">
      <w:pPr>
        <w:numPr>
          <w:ilvl w:val="1"/>
          <w:numId w:val="4"/>
        </w:numPr>
        <w:shd w:val="clear" w:color="auto" w:fill="F9FAFE"/>
        <w:spacing w:before="100" w:beforeAutospacing="1" w:after="100" w:afterAutospacing="1"/>
        <w:jc w:val="both"/>
        <w:rPr>
          <w:rFonts w:ascii="Lato" w:hAnsi="Lato"/>
        </w:rPr>
      </w:pPr>
      <w:r w:rsidRPr="00FF3A5B">
        <w:rPr>
          <w:rFonts w:ascii="Lato" w:hAnsi="Lato"/>
        </w:rPr>
        <w:t>glándula parótida.</w:t>
      </w:r>
    </w:p>
    <w:p w14:paraId="29586EAD" w14:textId="77777777" w:rsidR="00FF3A5B" w:rsidRPr="00FF3A5B" w:rsidRDefault="00FF3A5B" w:rsidP="00FF3A5B">
      <w:pPr>
        <w:numPr>
          <w:ilvl w:val="1"/>
          <w:numId w:val="4"/>
        </w:numPr>
        <w:shd w:val="clear" w:color="auto" w:fill="F9FAFE"/>
        <w:spacing w:before="100" w:beforeAutospacing="1" w:after="100" w:afterAutospacing="1"/>
        <w:jc w:val="both"/>
        <w:rPr>
          <w:rFonts w:ascii="Lato" w:hAnsi="Lato"/>
        </w:rPr>
      </w:pPr>
      <w:r w:rsidRPr="00FF3A5B">
        <w:rPr>
          <w:rFonts w:ascii="Lato" w:hAnsi="Lato"/>
        </w:rPr>
        <w:t>cutáneo.</w:t>
      </w:r>
    </w:p>
    <w:p w14:paraId="70FB5FD9" w14:textId="6473E0DF" w:rsidR="00FF3A5B" w:rsidRPr="00FF3A5B" w:rsidRDefault="00350A9D" w:rsidP="00FF3A5B">
      <w:pPr>
        <w:shd w:val="clear" w:color="auto" w:fill="F9FAFE"/>
        <w:spacing w:after="300"/>
        <w:rPr>
          <w:rFonts w:ascii="Lato" w:hAnsi="Lato"/>
        </w:rPr>
      </w:pPr>
      <w:r w:rsidRPr="00DF4E66">
        <w:rPr>
          <w:rFonts w:ascii="Lato" w:hAnsi="Lato"/>
        </w:rPr>
        <w:t>8.- ¿</w:t>
      </w:r>
      <w:r w:rsidR="00BD505A" w:rsidRPr="00DF4E66">
        <w:rPr>
          <w:rFonts w:ascii="Lato" w:hAnsi="Lato"/>
        </w:rPr>
        <w:t xml:space="preserve"> CÓMO SE CLASIFICA LOS MENINGIOMAS SEGÚN LA OMS?</w:t>
      </w:r>
    </w:p>
    <w:p w14:paraId="652CD1BD" w14:textId="65C2419B" w:rsidR="00FF3A5B" w:rsidRPr="00FF3A5B" w:rsidRDefault="00FF3A5B" w:rsidP="00FF3A5B">
      <w:pPr>
        <w:shd w:val="clear" w:color="auto" w:fill="F9FAFE"/>
        <w:spacing w:after="300"/>
        <w:rPr>
          <w:rFonts w:ascii="Lato" w:hAnsi="Lato"/>
        </w:rPr>
      </w:pPr>
      <w:r w:rsidRPr="00FF3A5B">
        <w:rPr>
          <w:rFonts w:ascii="Lato" w:hAnsi="Lato"/>
        </w:rPr>
        <w:t>La OMS considera tres </w:t>
      </w:r>
      <w:r w:rsidRPr="00FF3A5B">
        <w:rPr>
          <w:rFonts w:ascii="Lato" w:hAnsi="Lato"/>
          <w:b/>
          <w:bCs/>
        </w:rPr>
        <w:t>grados</w:t>
      </w:r>
      <w:r w:rsidRPr="00FF3A5B">
        <w:rPr>
          <w:rFonts w:ascii="Lato" w:hAnsi="Lato"/>
        </w:rPr>
        <w:t> tumorales para los meningiomas:</w:t>
      </w:r>
    </w:p>
    <w:p w14:paraId="0FC5DF60" w14:textId="3E3AE800" w:rsidR="00FF3A5B" w:rsidRPr="00FF3A5B" w:rsidRDefault="00FF3A5B" w:rsidP="008D2A9F">
      <w:pPr>
        <w:shd w:val="clear" w:color="auto" w:fill="F9FAFE"/>
        <w:spacing w:after="300"/>
        <w:rPr>
          <w:rFonts w:ascii="Lato" w:hAnsi="Lato"/>
        </w:rPr>
      </w:pPr>
      <w:r w:rsidRPr="00FF3A5B">
        <w:rPr>
          <w:rFonts w:ascii="Lato" w:hAnsi="Lato"/>
        </w:rPr>
        <w:t>- </w:t>
      </w:r>
      <w:r w:rsidRPr="00FF3A5B">
        <w:rPr>
          <w:rFonts w:ascii="Lato" w:hAnsi="Lato"/>
          <w:i/>
          <w:iCs/>
        </w:rPr>
        <w:t>Grado I</w:t>
      </w:r>
      <w:r w:rsidRPr="00FF3A5B">
        <w:rPr>
          <w:rFonts w:ascii="Lato" w:hAnsi="Lato"/>
        </w:rPr>
        <w:t xml:space="preserve">: </w:t>
      </w:r>
      <w:r w:rsidR="008D2A9F">
        <w:rPr>
          <w:rFonts w:ascii="Lato" w:hAnsi="Lato"/>
        </w:rPr>
        <w:t xml:space="preserve">Meningioma. </w:t>
      </w:r>
      <w:r w:rsidRPr="00FF3A5B">
        <w:rPr>
          <w:rFonts w:ascii="Lato" w:hAnsi="Lato"/>
        </w:rPr>
        <w:t>80-90%</w:t>
      </w:r>
      <w:r w:rsidR="008D2A9F">
        <w:rPr>
          <w:rFonts w:ascii="Lato" w:hAnsi="Lato"/>
        </w:rPr>
        <w:t>,</w:t>
      </w:r>
      <w:r w:rsidRPr="00FF3A5B">
        <w:rPr>
          <w:rFonts w:ascii="Lato" w:hAnsi="Lato"/>
        </w:rPr>
        <w:t xml:space="preserve"> siendo las variedades meningotelial, fibroblástica y transicional las más frecuentes. </w:t>
      </w:r>
    </w:p>
    <w:p w14:paraId="53EF0F73" w14:textId="2CB62678" w:rsidR="00FF3A5B" w:rsidRPr="00FF3A5B" w:rsidRDefault="00FF3A5B" w:rsidP="008D2A9F">
      <w:pPr>
        <w:shd w:val="clear" w:color="auto" w:fill="F9FAFE"/>
        <w:spacing w:after="300"/>
        <w:rPr>
          <w:rFonts w:ascii="Lato" w:hAnsi="Lato"/>
        </w:rPr>
      </w:pPr>
      <w:r w:rsidRPr="00FF3A5B">
        <w:rPr>
          <w:rFonts w:ascii="Lato" w:hAnsi="Lato"/>
        </w:rPr>
        <w:t>- </w:t>
      </w:r>
      <w:r w:rsidRPr="00FF3A5B">
        <w:rPr>
          <w:rFonts w:ascii="Lato" w:hAnsi="Lato"/>
          <w:i/>
          <w:iCs/>
        </w:rPr>
        <w:t>Grado II</w:t>
      </w:r>
      <w:r w:rsidRPr="00FF3A5B">
        <w:rPr>
          <w:rFonts w:ascii="Lato" w:hAnsi="Lato"/>
        </w:rPr>
        <w:t xml:space="preserve">: Meningioma atípico. 5-15% </w:t>
      </w:r>
    </w:p>
    <w:p w14:paraId="4673E5FE" w14:textId="21FB6CE0" w:rsidR="00FF3A5B" w:rsidRPr="00FF3A5B" w:rsidRDefault="00FF3A5B" w:rsidP="008D2A9F">
      <w:pPr>
        <w:shd w:val="clear" w:color="auto" w:fill="F9FAFE"/>
        <w:spacing w:after="300"/>
        <w:rPr>
          <w:rFonts w:ascii="Lato" w:hAnsi="Lato"/>
        </w:rPr>
      </w:pPr>
      <w:r w:rsidRPr="00FF3A5B">
        <w:rPr>
          <w:rFonts w:ascii="Lato" w:hAnsi="Lato"/>
        </w:rPr>
        <w:t>- </w:t>
      </w:r>
      <w:r w:rsidRPr="00FF3A5B">
        <w:rPr>
          <w:rFonts w:ascii="Lato" w:hAnsi="Lato"/>
          <w:i/>
          <w:iCs/>
        </w:rPr>
        <w:t>Grado III</w:t>
      </w:r>
      <w:r w:rsidRPr="00FF3A5B">
        <w:rPr>
          <w:rFonts w:ascii="Lato" w:hAnsi="Lato"/>
        </w:rPr>
        <w:t>: Meningioma maligno o anaplásico. 1-5% El pronóstico es generalmente malo, con un índice de recurrencia del 50-80% y una supervivencia media menor de dos años.  </w:t>
      </w:r>
    </w:p>
    <w:p w14:paraId="674B15A4" w14:textId="7E133CA7" w:rsidR="00FF3A5B" w:rsidRPr="00FF3A5B" w:rsidRDefault="00350A9D" w:rsidP="00FF3A5B">
      <w:pPr>
        <w:shd w:val="clear" w:color="auto" w:fill="F9FAFE"/>
        <w:spacing w:after="300"/>
        <w:rPr>
          <w:rFonts w:ascii="Lato" w:hAnsi="Lato"/>
        </w:rPr>
      </w:pPr>
      <w:r w:rsidRPr="00DF4E66">
        <w:rPr>
          <w:rFonts w:ascii="Lato" w:hAnsi="Lato"/>
        </w:rPr>
        <w:t>9.- ¿</w:t>
      </w:r>
      <w:r w:rsidR="00BD505A" w:rsidRPr="00DF4E66">
        <w:rPr>
          <w:rFonts w:ascii="Lato" w:hAnsi="Lato"/>
        </w:rPr>
        <w:t xml:space="preserve"> CU</w:t>
      </w:r>
      <w:r w:rsidR="00676549" w:rsidRPr="00DF4E66">
        <w:rPr>
          <w:rFonts w:ascii="Lato" w:hAnsi="Lato"/>
        </w:rPr>
        <w:t>Á</w:t>
      </w:r>
      <w:r w:rsidR="00BD505A" w:rsidRPr="00DF4E66">
        <w:rPr>
          <w:rFonts w:ascii="Lato" w:hAnsi="Lato"/>
        </w:rPr>
        <w:t xml:space="preserve">LES SON LOS HALLAZGOS RADIOLÓGICOS </w:t>
      </w:r>
      <w:r w:rsidR="00676549" w:rsidRPr="00DF4E66">
        <w:rPr>
          <w:rFonts w:ascii="Lato" w:hAnsi="Lato"/>
        </w:rPr>
        <w:t xml:space="preserve">Y POR TC </w:t>
      </w:r>
      <w:r w:rsidR="00BD505A" w:rsidRPr="00DF4E66">
        <w:rPr>
          <w:rFonts w:ascii="Lato" w:hAnsi="Lato"/>
        </w:rPr>
        <w:t>DE UN MENINGIOMA?</w:t>
      </w:r>
    </w:p>
    <w:p w14:paraId="4BF78C5D" w14:textId="28C02DE3" w:rsidR="00FF3A5B" w:rsidRPr="00FF3A5B" w:rsidRDefault="00FF3A5B" w:rsidP="00FF3A5B">
      <w:pPr>
        <w:shd w:val="clear" w:color="auto" w:fill="F9FAFE"/>
        <w:spacing w:after="300"/>
        <w:rPr>
          <w:rFonts w:ascii="Lato" w:hAnsi="Lato"/>
        </w:rPr>
      </w:pPr>
      <w:r w:rsidRPr="00FF3A5B">
        <w:rPr>
          <w:rFonts w:ascii="Lato" w:hAnsi="Lato"/>
        </w:rPr>
        <w:lastRenderedPageBreak/>
        <w:t>Son lesiones que cumplen </w:t>
      </w:r>
      <w:r w:rsidRPr="00FF3A5B">
        <w:rPr>
          <w:rFonts w:ascii="Lato" w:hAnsi="Lato"/>
          <w:b/>
          <w:bCs/>
        </w:rPr>
        <w:t>características extraaxiales (figuras 1 y 2)</w:t>
      </w:r>
      <w:r w:rsidRPr="00FF3A5B">
        <w:rPr>
          <w:rFonts w:ascii="Lato" w:hAnsi="Lato"/>
        </w:rPr>
        <w:t>, que se originan de las estructuras externas al encéfalo como las meninges, las estructuras vasculares los pares craneales y la calota ósea.</w:t>
      </w:r>
    </w:p>
    <w:p w14:paraId="72D0B26F" w14:textId="77777777" w:rsidR="00FF3A5B" w:rsidRPr="00FF3A5B" w:rsidRDefault="00FF3A5B" w:rsidP="00FF3A5B">
      <w:pPr>
        <w:numPr>
          <w:ilvl w:val="0"/>
          <w:numId w:val="10"/>
        </w:numPr>
        <w:shd w:val="clear" w:color="auto" w:fill="F9FAFE"/>
        <w:spacing w:before="100" w:beforeAutospacing="1" w:after="100" w:afterAutospacing="1"/>
        <w:jc w:val="both"/>
        <w:rPr>
          <w:rFonts w:ascii="Lato" w:hAnsi="Lato"/>
        </w:rPr>
      </w:pPr>
      <w:r w:rsidRPr="00FF3A5B">
        <w:rPr>
          <w:rFonts w:ascii="Lato" w:hAnsi="Lato"/>
        </w:rPr>
        <w:t>desplazamiento medial de los vasos corticales.</w:t>
      </w:r>
    </w:p>
    <w:p w14:paraId="4B5A46AF" w14:textId="77777777" w:rsidR="00FF3A5B" w:rsidRPr="00FF3A5B" w:rsidRDefault="00FF3A5B" w:rsidP="00FF3A5B">
      <w:pPr>
        <w:numPr>
          <w:ilvl w:val="0"/>
          <w:numId w:val="10"/>
        </w:numPr>
        <w:shd w:val="clear" w:color="auto" w:fill="F9FAFE"/>
        <w:spacing w:before="100" w:beforeAutospacing="1" w:after="100" w:afterAutospacing="1"/>
        <w:jc w:val="both"/>
        <w:rPr>
          <w:rFonts w:ascii="Lato" w:hAnsi="Lato"/>
        </w:rPr>
      </w:pPr>
      <w:r w:rsidRPr="00FF3A5B">
        <w:rPr>
          <w:rFonts w:ascii="Lato" w:hAnsi="Lato"/>
        </w:rPr>
        <w:t>ampliación del espacio subaracnoideo.</w:t>
      </w:r>
    </w:p>
    <w:p w14:paraId="615672E0" w14:textId="77777777" w:rsidR="00FF3A5B" w:rsidRPr="00FF3A5B" w:rsidRDefault="00FF3A5B" w:rsidP="00FF3A5B">
      <w:pPr>
        <w:numPr>
          <w:ilvl w:val="0"/>
          <w:numId w:val="10"/>
        </w:numPr>
        <w:shd w:val="clear" w:color="auto" w:fill="F9FAFE"/>
        <w:spacing w:before="100" w:beforeAutospacing="1" w:after="100" w:afterAutospacing="1"/>
        <w:jc w:val="both"/>
        <w:rPr>
          <w:rFonts w:ascii="Lato" w:hAnsi="Lato"/>
        </w:rPr>
      </w:pPr>
      <w:r w:rsidRPr="00FF3A5B">
        <w:rPr>
          <w:rFonts w:ascii="Lato" w:hAnsi="Lato"/>
        </w:rPr>
        <w:t>cambios óseos reactivos.</w:t>
      </w:r>
    </w:p>
    <w:p w14:paraId="4C81EA45" w14:textId="77777777" w:rsidR="00FF3A5B" w:rsidRPr="00FF3A5B" w:rsidRDefault="00FF3A5B" w:rsidP="00FF3A5B">
      <w:pPr>
        <w:numPr>
          <w:ilvl w:val="0"/>
          <w:numId w:val="10"/>
        </w:numPr>
        <w:shd w:val="clear" w:color="auto" w:fill="F9FAFE"/>
        <w:spacing w:before="100" w:beforeAutospacing="1" w:after="100" w:afterAutospacing="1"/>
        <w:jc w:val="both"/>
        <w:rPr>
          <w:rFonts w:ascii="Lato" w:hAnsi="Lato"/>
        </w:rPr>
      </w:pPr>
      <w:r w:rsidRPr="00FF3A5B">
        <w:rPr>
          <w:rFonts w:ascii="Lato" w:hAnsi="Lato"/>
        </w:rPr>
        <w:t>deformación de la sustancia blanca y gris secundario a efecto de masa.</w:t>
      </w:r>
    </w:p>
    <w:p w14:paraId="7481CB55" w14:textId="61948681" w:rsidR="00FF3A5B" w:rsidRPr="00FF3A5B" w:rsidRDefault="00FF3A5B" w:rsidP="00FF3A5B">
      <w:pPr>
        <w:shd w:val="clear" w:color="auto" w:fill="F9FAFE"/>
        <w:spacing w:after="300"/>
        <w:rPr>
          <w:rFonts w:ascii="Lato" w:hAnsi="Lato"/>
        </w:rPr>
      </w:pPr>
      <w:r w:rsidRPr="00FF3A5B">
        <w:rPr>
          <w:rFonts w:ascii="Lato" w:hAnsi="Lato"/>
        </w:rPr>
        <w:t>Son tumores de márgenes bien definidos que suelen tener una base amplia de implantación en la duramadre.</w:t>
      </w:r>
    </w:p>
    <w:p w14:paraId="435DDFE9" w14:textId="4592EC22" w:rsidR="00FF3A5B" w:rsidRPr="00FF3A5B" w:rsidRDefault="00FF3A5B" w:rsidP="00FF3A5B">
      <w:pPr>
        <w:shd w:val="clear" w:color="auto" w:fill="F9FAFE"/>
        <w:spacing w:after="300"/>
        <w:rPr>
          <w:rFonts w:ascii="Lato" w:hAnsi="Lato"/>
        </w:rPr>
      </w:pPr>
      <w:r w:rsidRPr="00FF3A5B">
        <w:rPr>
          <w:rFonts w:ascii="Lato" w:hAnsi="Lato"/>
        </w:rPr>
        <w:t>Presentan dos morfologías básicas:    - globulosa o lobular.            - en placa.</w:t>
      </w:r>
    </w:p>
    <w:p w14:paraId="1662CD08" w14:textId="3262B5D4" w:rsidR="00FF3A5B" w:rsidRPr="00FF3A5B" w:rsidRDefault="00FF3A5B" w:rsidP="00FF3A5B">
      <w:pPr>
        <w:shd w:val="clear" w:color="auto" w:fill="F9FAFE"/>
        <w:spacing w:after="300"/>
        <w:rPr>
          <w:rFonts w:ascii="Lato" w:hAnsi="Lato"/>
        </w:rPr>
      </w:pPr>
      <w:r w:rsidRPr="00FF3A5B">
        <w:rPr>
          <w:rFonts w:ascii="Lato" w:hAnsi="Lato"/>
        </w:rPr>
        <w:t>Pueden desarrollarse quistes subaracnoideos entre el meningioma y el parénquima cerebral adyacente secundario al atrapamiento de líquido cefalorraquídeo por adherencias aracnoideas o degeneración quística del tumor.</w:t>
      </w:r>
      <w:r w:rsidR="00C13736" w:rsidRPr="00DF4E66">
        <w:rPr>
          <w:rFonts w:ascii="Lato" w:hAnsi="Lato"/>
        </w:rPr>
        <w:t xml:space="preserve"> </w:t>
      </w:r>
      <w:r w:rsidRPr="00FF3A5B">
        <w:rPr>
          <w:rFonts w:ascii="Lato" w:hAnsi="Lato"/>
        </w:rPr>
        <w:t>El grado de edema es variable y no tiene porque estar relacionado con la agresividad histológica del tumor.</w:t>
      </w:r>
    </w:p>
    <w:p w14:paraId="6167E826" w14:textId="58E6B39C" w:rsidR="00C13736" w:rsidRPr="00DF4E66" w:rsidRDefault="00FF3A5B" w:rsidP="00C13736">
      <w:r w:rsidRPr="00FF3A5B">
        <w:rPr>
          <w:rFonts w:ascii="Lato" w:hAnsi="Lato"/>
        </w:rPr>
        <w:t> </w:t>
      </w:r>
      <w:r w:rsidR="00C13736" w:rsidRPr="00DF4E66">
        <w:fldChar w:fldCharType="begin"/>
      </w:r>
      <w:r w:rsidR="00C13736" w:rsidRPr="00DF4E66">
        <w:instrText xml:space="preserve"> INCLUDEPICTURE "https://epos.myesr.org/posterimage/esr/seram2012/112010/media/424898" \* MERGEFORMATINET </w:instrText>
      </w:r>
      <w:r w:rsidR="00C13736" w:rsidRPr="00DF4E66">
        <w:fldChar w:fldCharType="separate"/>
      </w:r>
      <w:r w:rsidR="00C13736" w:rsidRPr="00DF4E66">
        <w:rPr>
          <w:noProof/>
        </w:rPr>
        <w:drawing>
          <wp:inline distT="0" distB="0" distL="0" distR="0" wp14:anchorId="492667C6" wp14:editId="045F5904">
            <wp:extent cx="5612130" cy="420941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00C13736" w:rsidRPr="00DF4E66">
        <w:fldChar w:fldCharType="end"/>
      </w:r>
    </w:p>
    <w:p w14:paraId="03194365" w14:textId="20E59526" w:rsidR="00C13736" w:rsidRPr="00C13736" w:rsidRDefault="00C13736" w:rsidP="00C13736">
      <w:r w:rsidRPr="00C13736">
        <w:lastRenderedPageBreak/>
        <w:fldChar w:fldCharType="begin"/>
      </w:r>
      <w:r w:rsidRPr="00C13736">
        <w:instrText xml:space="preserve"> INCLUDEPICTURE "https://epos.myesr.org/posterimage/esr/seram2012/112010/media/424899" \* MERGEFORMATINET </w:instrText>
      </w:r>
      <w:r w:rsidRPr="00C13736">
        <w:fldChar w:fldCharType="separate"/>
      </w:r>
      <w:r w:rsidRPr="00DF4E66">
        <w:rPr>
          <w:noProof/>
        </w:rPr>
        <w:drawing>
          <wp:inline distT="0" distB="0" distL="0" distR="0" wp14:anchorId="184751C9" wp14:editId="43FB75DE">
            <wp:extent cx="5612130" cy="4209415"/>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C13736">
        <w:fldChar w:fldCharType="end"/>
      </w:r>
    </w:p>
    <w:p w14:paraId="67606646" w14:textId="6A41F61C" w:rsidR="00FF3A5B" w:rsidRPr="00FF3A5B" w:rsidRDefault="00FF3A5B" w:rsidP="00FF3A5B">
      <w:pPr>
        <w:shd w:val="clear" w:color="auto" w:fill="F9FAFE"/>
        <w:spacing w:after="300"/>
        <w:rPr>
          <w:rFonts w:ascii="Lato" w:hAnsi="Lato"/>
        </w:rPr>
      </w:pPr>
    </w:p>
    <w:p w14:paraId="5C56D8C2" w14:textId="3079B8FB" w:rsidR="00FF3A5B" w:rsidRPr="00FF3A5B" w:rsidRDefault="00FF3A5B" w:rsidP="00FF3A5B">
      <w:pPr>
        <w:shd w:val="clear" w:color="auto" w:fill="F9FAFE"/>
        <w:spacing w:after="300"/>
        <w:rPr>
          <w:rFonts w:ascii="Lato" w:hAnsi="Lato"/>
        </w:rPr>
      </w:pPr>
      <w:r w:rsidRPr="00FF3A5B">
        <w:rPr>
          <w:rFonts w:ascii="Lato" w:hAnsi="Lato"/>
          <w:u w:val="single"/>
        </w:rPr>
        <w:t>TC SIN Y CON CONTRASTE</w:t>
      </w:r>
      <w:r w:rsidRPr="00FF3A5B">
        <w:rPr>
          <w:rFonts w:ascii="Lato" w:hAnsi="Lato"/>
        </w:rPr>
        <w:t> (figuras 3 y 4)</w:t>
      </w:r>
    </w:p>
    <w:p w14:paraId="0AC67B3F" w14:textId="77777777" w:rsidR="00FF3A5B" w:rsidRPr="00FF3A5B" w:rsidRDefault="00FF3A5B" w:rsidP="00FF3A5B">
      <w:pPr>
        <w:shd w:val="clear" w:color="auto" w:fill="F9FAFE"/>
        <w:spacing w:after="300"/>
        <w:rPr>
          <w:rFonts w:ascii="Lato" w:hAnsi="Lato"/>
        </w:rPr>
      </w:pPr>
      <w:r w:rsidRPr="00FF3A5B">
        <w:rPr>
          <w:rFonts w:ascii="Lato" w:hAnsi="Lato"/>
        </w:rPr>
        <w:t>Hallazgos en </w:t>
      </w:r>
      <w:r w:rsidRPr="00FF3A5B">
        <w:rPr>
          <w:rFonts w:ascii="Lato" w:hAnsi="Lato"/>
          <w:b/>
          <w:bCs/>
        </w:rPr>
        <w:t>TC sin y con contraste</w:t>
      </w:r>
      <w:r w:rsidRPr="00FF3A5B">
        <w:rPr>
          <w:rFonts w:ascii="Lato" w:hAnsi="Lato"/>
        </w:rPr>
        <w:t> de los meningiomas </w:t>
      </w:r>
      <w:r w:rsidRPr="00FF3A5B">
        <w:rPr>
          <w:rFonts w:ascii="Lato" w:hAnsi="Lato"/>
          <w:b/>
          <w:bCs/>
        </w:rPr>
        <w:t>típicos</w:t>
      </w:r>
      <w:r w:rsidRPr="00FF3A5B">
        <w:rPr>
          <w:rFonts w:ascii="Lato" w:hAnsi="Lato"/>
        </w:rPr>
        <w:t>:</w:t>
      </w:r>
    </w:p>
    <w:p w14:paraId="7B72E185" w14:textId="77777777" w:rsidR="00FF3A5B" w:rsidRPr="00FF3A5B" w:rsidRDefault="00FF3A5B" w:rsidP="00FF3A5B">
      <w:pPr>
        <w:shd w:val="clear" w:color="auto" w:fill="F9FAFE"/>
        <w:spacing w:after="300"/>
        <w:rPr>
          <w:rFonts w:ascii="Lato" w:hAnsi="Lato"/>
        </w:rPr>
      </w:pPr>
      <w:r w:rsidRPr="00FF3A5B">
        <w:rPr>
          <w:rFonts w:ascii="Lato" w:hAnsi="Lato"/>
        </w:rPr>
        <w:t>            - suelen ser lesiones extraaxiales, homogéneas, de márgenes bien definidos.</w:t>
      </w:r>
    </w:p>
    <w:p w14:paraId="0142B005" w14:textId="77777777" w:rsidR="00FF3A5B" w:rsidRPr="00FF3A5B" w:rsidRDefault="00FF3A5B" w:rsidP="00FF3A5B">
      <w:pPr>
        <w:shd w:val="clear" w:color="auto" w:fill="F9FAFE"/>
        <w:spacing w:after="300"/>
        <w:rPr>
          <w:rFonts w:ascii="Lato" w:hAnsi="Lato"/>
        </w:rPr>
      </w:pPr>
      <w:r w:rsidRPr="00FF3A5B">
        <w:rPr>
          <w:rFonts w:ascii="Lato" w:hAnsi="Lato"/>
        </w:rPr>
        <w:t>            - aproximadamente el 60% de los meningiomas son ligeramente hiperdensos respecto al tejido cerebral normal.</w:t>
      </w:r>
    </w:p>
    <w:p w14:paraId="7667574D" w14:textId="77777777" w:rsidR="00FF3A5B" w:rsidRPr="00FF3A5B" w:rsidRDefault="00FF3A5B" w:rsidP="00FF3A5B">
      <w:pPr>
        <w:shd w:val="clear" w:color="auto" w:fill="F9FAFE"/>
        <w:spacing w:after="300"/>
        <w:rPr>
          <w:rFonts w:ascii="Lato" w:hAnsi="Lato"/>
        </w:rPr>
      </w:pPr>
      <w:r w:rsidRPr="00FF3A5B">
        <w:rPr>
          <w:rFonts w:ascii="Lato" w:hAnsi="Lato"/>
        </w:rPr>
        <w:t>            - puede presentar calcificaciones difusas o focales (20-25%).</w:t>
      </w:r>
    </w:p>
    <w:p w14:paraId="758D1A9C" w14:textId="77777777" w:rsidR="00FF3A5B" w:rsidRPr="00FF3A5B" w:rsidRDefault="00FF3A5B" w:rsidP="00FF3A5B">
      <w:pPr>
        <w:shd w:val="clear" w:color="auto" w:fill="F9FAFE"/>
        <w:spacing w:after="300"/>
        <w:rPr>
          <w:rFonts w:ascii="Lato" w:hAnsi="Lato"/>
        </w:rPr>
      </w:pPr>
      <w:r w:rsidRPr="00FF3A5B">
        <w:rPr>
          <w:rFonts w:ascii="Lato" w:hAnsi="Lato"/>
        </w:rPr>
        <w:t>            - Puede existir hiperostosis en la calota adyacente. En algunos casos puede observarse destrucción ósea y realce óseo indicativo de invasión ósea.</w:t>
      </w:r>
    </w:p>
    <w:p w14:paraId="4142BECB" w14:textId="47D4EC21" w:rsidR="00FF3A5B" w:rsidRPr="00FF3A5B" w:rsidRDefault="00FF3A5B" w:rsidP="00FF3A5B">
      <w:pPr>
        <w:shd w:val="clear" w:color="auto" w:fill="F9FAFE"/>
        <w:spacing w:after="300"/>
        <w:rPr>
          <w:rFonts w:ascii="Lato" w:hAnsi="Lato"/>
        </w:rPr>
      </w:pPr>
      <w:r w:rsidRPr="00FF3A5B">
        <w:rPr>
          <w:rFonts w:ascii="Lato" w:hAnsi="Lato"/>
        </w:rPr>
        <w:t>            - Tras la administración de contraste intravenosos muestran un intenso realce homogéneo, con una base de implantación amplia (signo de la cola dural).</w:t>
      </w:r>
    </w:p>
    <w:p w14:paraId="7B082C75" w14:textId="4CDB6E30" w:rsidR="00676549" w:rsidRPr="00DF4E66" w:rsidRDefault="00FF3A5B" w:rsidP="00676549">
      <w:r w:rsidRPr="00FF3A5B">
        <w:rPr>
          <w:rFonts w:ascii="Lato" w:hAnsi="Lato"/>
        </w:rPr>
        <w:lastRenderedPageBreak/>
        <w:t> </w:t>
      </w:r>
      <w:r w:rsidR="00676549" w:rsidRPr="00DF4E66">
        <w:fldChar w:fldCharType="begin"/>
      </w:r>
      <w:r w:rsidR="00676549" w:rsidRPr="00DF4E66">
        <w:instrText xml:space="preserve"> INCLUDEPICTURE "https://epos.myesr.org/posterimage/esr/seram2012/112010/media/424900" \* MERGEFORMATINET </w:instrText>
      </w:r>
      <w:r w:rsidR="00676549" w:rsidRPr="00DF4E66">
        <w:fldChar w:fldCharType="separate"/>
      </w:r>
      <w:r w:rsidR="00676549" w:rsidRPr="00DF4E66">
        <w:rPr>
          <w:noProof/>
        </w:rPr>
        <w:drawing>
          <wp:inline distT="0" distB="0" distL="0" distR="0" wp14:anchorId="23EA9FFB" wp14:editId="17A916C6">
            <wp:extent cx="5612130" cy="4209415"/>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00676549" w:rsidRPr="00DF4E66">
        <w:fldChar w:fldCharType="end"/>
      </w:r>
    </w:p>
    <w:p w14:paraId="389E4FC8" w14:textId="191F137D" w:rsidR="00FF3A5B" w:rsidRPr="00DF4E66" w:rsidRDefault="00FF3A5B" w:rsidP="00FF3A5B">
      <w:pPr>
        <w:shd w:val="clear" w:color="auto" w:fill="F9FAFE"/>
        <w:spacing w:after="300"/>
        <w:rPr>
          <w:rFonts w:ascii="Lato" w:hAnsi="Lato"/>
        </w:rPr>
      </w:pPr>
    </w:p>
    <w:p w14:paraId="02CCEF13" w14:textId="7156933A" w:rsidR="00676549" w:rsidRPr="00676549" w:rsidRDefault="00676549" w:rsidP="00676549">
      <w:r w:rsidRPr="00676549">
        <w:lastRenderedPageBreak/>
        <w:fldChar w:fldCharType="begin"/>
      </w:r>
      <w:r w:rsidRPr="00676549">
        <w:instrText xml:space="preserve"> INCLUDEPICTURE "https://epos.myesr.org/posterimage/esr/seram2012/112010/media/424901" \* MERGEFORMATINET </w:instrText>
      </w:r>
      <w:r w:rsidRPr="00676549">
        <w:fldChar w:fldCharType="separate"/>
      </w:r>
      <w:r w:rsidRPr="00DF4E66">
        <w:rPr>
          <w:noProof/>
        </w:rPr>
        <w:drawing>
          <wp:inline distT="0" distB="0" distL="0" distR="0" wp14:anchorId="151C8953" wp14:editId="15517733">
            <wp:extent cx="5612130" cy="4209415"/>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676549">
        <w:fldChar w:fldCharType="end"/>
      </w:r>
    </w:p>
    <w:p w14:paraId="583B530A" w14:textId="77777777" w:rsidR="00676549" w:rsidRPr="00FF3A5B" w:rsidRDefault="00676549" w:rsidP="00FF3A5B">
      <w:pPr>
        <w:shd w:val="clear" w:color="auto" w:fill="F9FAFE"/>
        <w:spacing w:after="300"/>
        <w:rPr>
          <w:rFonts w:ascii="Lato" w:hAnsi="Lato"/>
        </w:rPr>
      </w:pPr>
    </w:p>
    <w:p w14:paraId="741FD0E1" w14:textId="5E5681C3" w:rsidR="00676549" w:rsidRPr="00FF3A5B" w:rsidRDefault="00676549" w:rsidP="00676549">
      <w:pPr>
        <w:shd w:val="clear" w:color="auto" w:fill="F9FAFE"/>
        <w:spacing w:after="300"/>
        <w:rPr>
          <w:rFonts w:ascii="Lato" w:hAnsi="Lato"/>
        </w:rPr>
      </w:pPr>
      <w:r w:rsidRPr="00DF4E66">
        <w:rPr>
          <w:rFonts w:ascii="Lato" w:hAnsi="Lato"/>
        </w:rPr>
        <w:t>10</w:t>
      </w:r>
      <w:r w:rsidRPr="00DF4E66">
        <w:rPr>
          <w:rFonts w:ascii="Lato" w:hAnsi="Lato"/>
        </w:rPr>
        <w:t>.- ¿ CU</w:t>
      </w:r>
      <w:r w:rsidRPr="00DF4E66">
        <w:rPr>
          <w:rFonts w:ascii="Lato" w:hAnsi="Lato"/>
        </w:rPr>
        <w:t>Á</w:t>
      </w:r>
      <w:r w:rsidRPr="00DF4E66">
        <w:rPr>
          <w:rFonts w:ascii="Lato" w:hAnsi="Lato"/>
        </w:rPr>
        <w:t>LES SON LOS HALLAZGOS DE UN MENINGIOMA</w:t>
      </w:r>
      <w:r w:rsidRPr="00DF4E66">
        <w:rPr>
          <w:rFonts w:ascii="Lato" w:hAnsi="Lato"/>
        </w:rPr>
        <w:t xml:space="preserve"> POR RM</w:t>
      </w:r>
      <w:r w:rsidRPr="00DF4E66">
        <w:rPr>
          <w:rFonts w:ascii="Lato" w:hAnsi="Lato"/>
        </w:rPr>
        <w:t>?</w:t>
      </w:r>
    </w:p>
    <w:p w14:paraId="29A570E3" w14:textId="77777777" w:rsidR="00FF3A5B" w:rsidRPr="00FF3A5B" w:rsidRDefault="00FF3A5B" w:rsidP="00FF3A5B">
      <w:pPr>
        <w:shd w:val="clear" w:color="auto" w:fill="F9FAFE"/>
        <w:spacing w:after="300"/>
        <w:rPr>
          <w:rFonts w:ascii="Lato" w:hAnsi="Lato"/>
        </w:rPr>
      </w:pPr>
      <w:r w:rsidRPr="00FF3A5B">
        <w:rPr>
          <w:rFonts w:ascii="Lato" w:hAnsi="Lato"/>
        </w:rPr>
        <w:t>En RM los meningiomas típicos suelen presentarse como:</w:t>
      </w:r>
    </w:p>
    <w:p w14:paraId="4AE87AD2" w14:textId="77777777" w:rsidR="00FF3A5B" w:rsidRPr="00FF3A5B" w:rsidRDefault="00FF3A5B" w:rsidP="00FF3A5B">
      <w:pPr>
        <w:shd w:val="clear" w:color="auto" w:fill="F9FAFE"/>
        <w:spacing w:after="300"/>
        <w:rPr>
          <w:rFonts w:ascii="Lato" w:hAnsi="Lato"/>
        </w:rPr>
      </w:pPr>
      <w:r w:rsidRPr="00FF3A5B">
        <w:rPr>
          <w:rFonts w:ascii="Lato" w:hAnsi="Lato"/>
        </w:rPr>
        <w:t>            - lesiones bien definidas isointensas o ligeramente hipointensos respecto a la sustancia gris en secuencias potenciadas en T1.</w:t>
      </w:r>
    </w:p>
    <w:p w14:paraId="53BCB9A2" w14:textId="77777777" w:rsidR="00FF3A5B" w:rsidRPr="00FF3A5B" w:rsidRDefault="00FF3A5B" w:rsidP="00FF3A5B">
      <w:pPr>
        <w:shd w:val="clear" w:color="auto" w:fill="F9FAFE"/>
        <w:spacing w:after="300"/>
        <w:rPr>
          <w:rFonts w:ascii="Lato" w:hAnsi="Lato"/>
        </w:rPr>
      </w:pPr>
      <w:r w:rsidRPr="00FF3A5B">
        <w:rPr>
          <w:rFonts w:ascii="Lato" w:hAnsi="Lato"/>
        </w:rPr>
        <w:t>            - en secuencias potencidas en T2 muestran un patrón de intensidad de señal variable que se suele realcionar con los hallazgos histológicos.  Tumores hipointensos en T2 están compuestos por elementos fibroblásticos o transicionales mientras que los hiperintensos en T2 son principalmente angioblásticos.</w:t>
      </w:r>
    </w:p>
    <w:p w14:paraId="0A2A528C" w14:textId="77777777" w:rsidR="00FF3A5B" w:rsidRPr="00FF3A5B" w:rsidRDefault="00FF3A5B" w:rsidP="00FF3A5B">
      <w:pPr>
        <w:shd w:val="clear" w:color="auto" w:fill="F9FAFE"/>
        <w:spacing w:after="300"/>
        <w:rPr>
          <w:rFonts w:ascii="Lato" w:hAnsi="Lato"/>
        </w:rPr>
      </w:pPr>
      <w:r w:rsidRPr="00FF3A5B">
        <w:rPr>
          <w:rFonts w:ascii="Lato" w:hAnsi="Lato"/>
        </w:rPr>
        <w:t>            -  muestran un realce intenso y homogéneo tras la administración de gadolinio.</w:t>
      </w:r>
    </w:p>
    <w:p w14:paraId="14AD7E68" w14:textId="77777777" w:rsidR="00FF3A5B" w:rsidRPr="00FF3A5B" w:rsidRDefault="00FF3A5B" w:rsidP="00FF3A5B">
      <w:pPr>
        <w:shd w:val="clear" w:color="auto" w:fill="F9FAFE"/>
        <w:spacing w:after="300"/>
        <w:rPr>
          <w:rFonts w:ascii="Lato" w:hAnsi="Lato"/>
        </w:rPr>
      </w:pPr>
      <w:r w:rsidRPr="00FF3A5B">
        <w:rPr>
          <w:rFonts w:ascii="Lato" w:hAnsi="Lato"/>
        </w:rPr>
        <w:t>            - en secuencias potenciadas en difusión son generalmente isointensos o levemente hipo/hiperintensos.</w:t>
      </w:r>
    </w:p>
    <w:p w14:paraId="5ED72270" w14:textId="77777777" w:rsidR="00FF3A5B" w:rsidRPr="00FF3A5B" w:rsidRDefault="00FF3A5B" w:rsidP="00FF3A5B">
      <w:pPr>
        <w:shd w:val="clear" w:color="auto" w:fill="F9FAFE"/>
        <w:spacing w:after="300"/>
        <w:rPr>
          <w:rFonts w:ascii="Lato" w:hAnsi="Lato"/>
        </w:rPr>
      </w:pPr>
      <w:r w:rsidRPr="00FF3A5B">
        <w:rPr>
          <w:rFonts w:ascii="Lato" w:hAnsi="Lato"/>
        </w:rPr>
        <w:lastRenderedPageBreak/>
        <w:t>            -  en los mapas ADC son generalmente isointensos o levemente hipo/hiperintensos.</w:t>
      </w:r>
    </w:p>
    <w:p w14:paraId="7E51078A" w14:textId="77777777" w:rsidR="00FF3A5B" w:rsidRPr="00FF3A5B" w:rsidRDefault="00FF3A5B" w:rsidP="00FF3A5B">
      <w:pPr>
        <w:shd w:val="clear" w:color="auto" w:fill="F9FAFE"/>
        <w:spacing w:after="300"/>
        <w:rPr>
          <w:rFonts w:ascii="Lato" w:hAnsi="Lato"/>
        </w:rPr>
      </w:pPr>
      <w:r w:rsidRPr="00FF3A5B">
        <w:rPr>
          <w:rFonts w:ascii="Lato" w:hAnsi="Lato"/>
        </w:rPr>
        <w:t>            - en los estudios de perfusión presentan un volumen sanguíneo cerebral aumentado secundario a la retención del contraste en el espacio extracelular de la lesión.</w:t>
      </w:r>
    </w:p>
    <w:p w14:paraId="059B25B5" w14:textId="77777777" w:rsidR="00FF3A5B" w:rsidRPr="00FF3A5B" w:rsidRDefault="00FF3A5B" w:rsidP="00FF3A5B">
      <w:pPr>
        <w:shd w:val="clear" w:color="auto" w:fill="F9FAFE"/>
        <w:spacing w:after="300"/>
        <w:rPr>
          <w:rFonts w:ascii="Lato" w:hAnsi="Lato"/>
        </w:rPr>
      </w:pPr>
      <w:r w:rsidRPr="00FF3A5B">
        <w:rPr>
          <w:rFonts w:ascii="Lato" w:hAnsi="Lato"/>
        </w:rPr>
        <w:t>              -  Con frecuencia la espectrocopía no tiene un papel importante en el diagnóstico, pero puede ayudar al diagnóstico diferencial. Hallazgos:</w:t>
      </w:r>
    </w:p>
    <w:p w14:paraId="2C024BE0" w14:textId="77777777" w:rsidR="00FF3A5B" w:rsidRPr="00FF3A5B" w:rsidRDefault="00FF3A5B" w:rsidP="00FF3A5B">
      <w:pPr>
        <w:numPr>
          <w:ilvl w:val="0"/>
          <w:numId w:val="11"/>
        </w:numPr>
        <w:shd w:val="clear" w:color="auto" w:fill="F9FAFE"/>
        <w:spacing w:before="100" w:beforeAutospacing="1" w:after="100" w:afterAutospacing="1"/>
        <w:jc w:val="both"/>
        <w:rPr>
          <w:rFonts w:ascii="Lato" w:hAnsi="Lato"/>
        </w:rPr>
      </w:pPr>
      <w:r w:rsidRPr="00FF3A5B">
        <w:rPr>
          <w:rFonts w:ascii="Lato" w:hAnsi="Lato"/>
        </w:rPr>
        <w:t>aumento de alanina (1.3 - 1.5 ppm)</w:t>
      </w:r>
    </w:p>
    <w:p w14:paraId="6F258FE9" w14:textId="77777777" w:rsidR="00FF3A5B" w:rsidRPr="00FF3A5B" w:rsidRDefault="00FF3A5B" w:rsidP="00FF3A5B">
      <w:pPr>
        <w:numPr>
          <w:ilvl w:val="0"/>
          <w:numId w:val="11"/>
        </w:numPr>
        <w:shd w:val="clear" w:color="auto" w:fill="F9FAFE"/>
        <w:spacing w:before="100" w:beforeAutospacing="1" w:after="100" w:afterAutospacing="1"/>
        <w:jc w:val="both"/>
        <w:rPr>
          <w:rFonts w:ascii="Lato" w:hAnsi="Lato"/>
        </w:rPr>
      </w:pPr>
      <w:r w:rsidRPr="00FF3A5B">
        <w:rPr>
          <w:rFonts w:ascii="Lato" w:hAnsi="Lato"/>
        </w:rPr>
        <w:t>aumento glutamina / glutamato</w:t>
      </w:r>
    </w:p>
    <w:p w14:paraId="0F0EDF0D" w14:textId="77777777" w:rsidR="00FF3A5B" w:rsidRPr="00FF3A5B" w:rsidRDefault="00FF3A5B" w:rsidP="00FF3A5B">
      <w:pPr>
        <w:numPr>
          <w:ilvl w:val="0"/>
          <w:numId w:val="11"/>
        </w:numPr>
        <w:shd w:val="clear" w:color="auto" w:fill="F9FAFE"/>
        <w:spacing w:before="100" w:beforeAutospacing="1" w:after="100" w:afterAutospacing="1"/>
        <w:jc w:val="both"/>
        <w:rPr>
          <w:rFonts w:ascii="Lato" w:hAnsi="Lato"/>
        </w:rPr>
      </w:pPr>
      <w:r w:rsidRPr="00FF3A5B">
        <w:rPr>
          <w:rFonts w:ascii="Lato" w:hAnsi="Lato"/>
        </w:rPr>
        <w:t>aumento de  colina (Cho): tumor celular</w:t>
      </w:r>
    </w:p>
    <w:p w14:paraId="488F9D82" w14:textId="77777777" w:rsidR="00FF3A5B" w:rsidRPr="00FF3A5B" w:rsidRDefault="00FF3A5B" w:rsidP="00FF3A5B">
      <w:pPr>
        <w:numPr>
          <w:ilvl w:val="0"/>
          <w:numId w:val="11"/>
        </w:numPr>
        <w:shd w:val="clear" w:color="auto" w:fill="F9FAFE"/>
        <w:spacing w:before="100" w:beforeAutospacing="1" w:after="100" w:afterAutospacing="1"/>
        <w:jc w:val="both"/>
        <w:rPr>
          <w:rFonts w:ascii="Lato" w:hAnsi="Lato"/>
        </w:rPr>
      </w:pPr>
      <w:r w:rsidRPr="00FF3A5B">
        <w:rPr>
          <w:rFonts w:ascii="Lato" w:hAnsi="Lato"/>
        </w:rPr>
        <w:t>ausente o disminución significativa de N-acetilaspartato (NAA): indica que no tiene origen neuronal.</w:t>
      </w:r>
    </w:p>
    <w:p w14:paraId="489A6F60" w14:textId="77777777" w:rsidR="00FF3A5B" w:rsidRPr="00FF3A5B" w:rsidRDefault="00FF3A5B" w:rsidP="00FF3A5B">
      <w:pPr>
        <w:numPr>
          <w:ilvl w:val="0"/>
          <w:numId w:val="11"/>
        </w:numPr>
        <w:shd w:val="clear" w:color="auto" w:fill="F9FAFE"/>
        <w:spacing w:before="100" w:beforeAutospacing="1" w:after="100" w:afterAutospacing="1"/>
        <w:jc w:val="both"/>
        <w:rPr>
          <w:rFonts w:ascii="Lato" w:hAnsi="Lato"/>
        </w:rPr>
      </w:pPr>
      <w:r w:rsidRPr="00FF3A5B">
        <w:rPr>
          <w:rFonts w:ascii="Lato" w:hAnsi="Lato"/>
        </w:rPr>
        <w:t>ausente o significativo descenso de  creatina (Cr)</w:t>
      </w:r>
    </w:p>
    <w:p w14:paraId="319D3BB2" w14:textId="777929A2" w:rsidR="00676549" w:rsidRPr="00DF4E66" w:rsidRDefault="00FF3A5B" w:rsidP="00676549">
      <w:r w:rsidRPr="00FF3A5B">
        <w:rPr>
          <w:rFonts w:ascii="Lato" w:hAnsi="Lato"/>
        </w:rPr>
        <w:t> </w:t>
      </w:r>
      <w:r w:rsidR="00676549" w:rsidRPr="00DF4E66">
        <w:fldChar w:fldCharType="begin"/>
      </w:r>
      <w:r w:rsidR="00676549" w:rsidRPr="00DF4E66">
        <w:instrText xml:space="preserve"> INCLUDEPICTURE "https://epos.myesr.org/posterimage/esr/seram2012/112010/media/424903" \* MERGEFORMATINET </w:instrText>
      </w:r>
      <w:r w:rsidR="00676549" w:rsidRPr="00DF4E66">
        <w:fldChar w:fldCharType="separate"/>
      </w:r>
      <w:r w:rsidR="00676549" w:rsidRPr="00DF4E66">
        <w:rPr>
          <w:noProof/>
        </w:rPr>
        <w:drawing>
          <wp:inline distT="0" distB="0" distL="0" distR="0" wp14:anchorId="1EC61EED" wp14:editId="394DC486">
            <wp:extent cx="5612130" cy="4209415"/>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00676549" w:rsidRPr="00DF4E66">
        <w:fldChar w:fldCharType="end"/>
      </w:r>
    </w:p>
    <w:p w14:paraId="2F90BBAB" w14:textId="29415172" w:rsidR="00676549" w:rsidRPr="00676549" w:rsidRDefault="00676549" w:rsidP="00676549">
      <w:r w:rsidRPr="00676549">
        <w:lastRenderedPageBreak/>
        <w:fldChar w:fldCharType="begin"/>
      </w:r>
      <w:r w:rsidRPr="00676549">
        <w:instrText xml:space="preserve"> INCLUDEPICTURE "https://epos.myesr.org/posterimage/esr/seram2012/112010/media/424904" \* MERGEFORMATINET </w:instrText>
      </w:r>
      <w:r w:rsidRPr="00676549">
        <w:fldChar w:fldCharType="separate"/>
      </w:r>
      <w:r w:rsidRPr="00DF4E66">
        <w:rPr>
          <w:noProof/>
        </w:rPr>
        <w:drawing>
          <wp:inline distT="0" distB="0" distL="0" distR="0" wp14:anchorId="41DF5370" wp14:editId="08C283A7">
            <wp:extent cx="5612130" cy="4209415"/>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676549">
        <w:fldChar w:fldCharType="end"/>
      </w:r>
    </w:p>
    <w:p w14:paraId="67AF85F9" w14:textId="49DE4998" w:rsidR="00FF3A5B" w:rsidRPr="00DF4E66" w:rsidRDefault="00FF3A5B" w:rsidP="00FF3A5B">
      <w:pPr>
        <w:shd w:val="clear" w:color="auto" w:fill="F9FAFE"/>
        <w:spacing w:after="300"/>
        <w:rPr>
          <w:rFonts w:ascii="Lato" w:hAnsi="Lato"/>
        </w:rPr>
      </w:pPr>
    </w:p>
    <w:p w14:paraId="0639160A" w14:textId="7560B452" w:rsidR="00676549" w:rsidRPr="00676549" w:rsidRDefault="00676549" w:rsidP="00676549">
      <w:r w:rsidRPr="00676549">
        <w:lastRenderedPageBreak/>
        <w:fldChar w:fldCharType="begin"/>
      </w:r>
      <w:r w:rsidRPr="00676549">
        <w:instrText xml:space="preserve"> INCLUDEPICTURE "https://epos.myesr.org/posterimage/esr/seram2012/112010/media/424905" \* MERGEFORMATINET </w:instrText>
      </w:r>
      <w:r w:rsidRPr="00676549">
        <w:fldChar w:fldCharType="separate"/>
      </w:r>
      <w:r w:rsidRPr="00DF4E66">
        <w:rPr>
          <w:noProof/>
        </w:rPr>
        <w:drawing>
          <wp:inline distT="0" distB="0" distL="0" distR="0" wp14:anchorId="3FF71DA5" wp14:editId="17FD8EEC">
            <wp:extent cx="5612130" cy="4209415"/>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r w:rsidRPr="00676549">
        <w:fldChar w:fldCharType="end"/>
      </w:r>
    </w:p>
    <w:p w14:paraId="74FC34E5" w14:textId="718EE117" w:rsidR="00C57586" w:rsidRPr="00DF4E66" w:rsidRDefault="00791244" w:rsidP="00402A0A">
      <w:pPr>
        <w:jc w:val="both"/>
      </w:pPr>
    </w:p>
    <w:p w14:paraId="115E2033" w14:textId="7E032BD9" w:rsidR="00F34E1A" w:rsidRPr="00DF4E66" w:rsidRDefault="00F34E1A" w:rsidP="00402A0A">
      <w:pPr>
        <w:jc w:val="both"/>
      </w:pPr>
      <w:r w:rsidRPr="00DF4E66">
        <w:t>11.- ¿QUÉ ES EL SÍNDROME DE MARFAN?</w:t>
      </w:r>
    </w:p>
    <w:p w14:paraId="148C701F" w14:textId="7B3716AD" w:rsidR="00F34E1A" w:rsidRPr="00F34E1A" w:rsidRDefault="00F34E1A" w:rsidP="00F34E1A">
      <w:pPr>
        <w:shd w:val="clear" w:color="auto" w:fill="FFFFFF"/>
        <w:spacing w:before="100" w:beforeAutospacing="1" w:after="100" w:afterAutospacing="1"/>
        <w:rPr>
          <w:rFonts w:ascii="Verdana" w:hAnsi="Verdana"/>
          <w:sz w:val="20"/>
          <w:szCs w:val="20"/>
        </w:rPr>
      </w:pPr>
      <w:r w:rsidRPr="00DF4E66">
        <w:rPr>
          <w:rFonts w:ascii="Verdana" w:hAnsi="Verdana"/>
          <w:b/>
          <w:bCs/>
          <w:sz w:val="27"/>
          <w:szCs w:val="27"/>
        </w:rPr>
        <w:t>E</w:t>
      </w:r>
      <w:r w:rsidRPr="00F34E1A">
        <w:rPr>
          <w:rFonts w:ascii="Verdana" w:hAnsi="Verdana"/>
          <w:sz w:val="20"/>
          <w:szCs w:val="20"/>
        </w:rPr>
        <w:t>s un trastorno genético autosómico dominante que afecta las fibras elásticas del tejido conectivo, manifestándose en aquellos sistemas u órganos que la contienen en mayor concentración, tales como el cardiovascular, esquelético, duramadre, ocular, piel, tegumentos y pulmón.</w:t>
      </w:r>
    </w:p>
    <w:p w14:paraId="29B68A73" w14:textId="77777777" w:rsidR="002E2655" w:rsidRPr="00DF4E66" w:rsidRDefault="002E2655" w:rsidP="00F34E1A">
      <w:pPr>
        <w:shd w:val="clear" w:color="auto" w:fill="FFFFFF"/>
        <w:spacing w:before="100" w:beforeAutospacing="1" w:after="100" w:afterAutospacing="1"/>
        <w:rPr>
          <w:rFonts w:ascii="Verdana" w:hAnsi="Verdana"/>
          <w:sz w:val="20"/>
          <w:szCs w:val="20"/>
        </w:rPr>
      </w:pPr>
      <w:r w:rsidRPr="00DF4E66">
        <w:rPr>
          <w:rFonts w:ascii="Verdana" w:hAnsi="Verdana"/>
          <w:sz w:val="20"/>
          <w:szCs w:val="20"/>
        </w:rPr>
        <w:t>12.- ¿CUÁLES SON LOS ASPECTOS GENETICOS DEL SÍNDROME DE MARFAN?</w:t>
      </w:r>
    </w:p>
    <w:p w14:paraId="635D7922" w14:textId="6B5998FC" w:rsidR="00F34E1A" w:rsidRPr="00DF4E66" w:rsidRDefault="00F34E1A" w:rsidP="00F34E1A">
      <w:pPr>
        <w:shd w:val="clear" w:color="auto" w:fill="FFFFFF"/>
        <w:spacing w:before="100" w:beforeAutospacing="1" w:after="100" w:afterAutospacing="1"/>
        <w:rPr>
          <w:rFonts w:ascii="Verdana" w:hAnsi="Verdana"/>
          <w:sz w:val="20"/>
          <w:szCs w:val="20"/>
        </w:rPr>
      </w:pPr>
      <w:r w:rsidRPr="00F34E1A">
        <w:rPr>
          <w:rFonts w:ascii="Verdana" w:hAnsi="Verdana"/>
          <w:sz w:val="20"/>
          <w:szCs w:val="20"/>
        </w:rPr>
        <w:t>La herencia es autosómica dominante con penetrancia casi completa, pero con expresión variable. La falla de la detección puede estar dada por la marcada variabilidad clínica (en la misma o diferentes familias), dependencia de la edad en la aparición de las manifestaciones clínicas (a mayor edad, mayor compromiso clínico) y la existencia de casos nuevos, producto de las mutaciones</w:t>
      </w:r>
      <w:r w:rsidR="002E2655" w:rsidRPr="00DF4E66">
        <w:rPr>
          <w:rFonts w:ascii="Verdana" w:hAnsi="Verdana"/>
          <w:sz w:val="20"/>
          <w:szCs w:val="20"/>
        </w:rPr>
        <w:t>.</w:t>
      </w:r>
    </w:p>
    <w:p w14:paraId="6EC610BF" w14:textId="3454F8E8" w:rsidR="002E2655" w:rsidRPr="00DF4E66" w:rsidRDefault="002E2655" w:rsidP="002E2655">
      <w:pPr>
        <w:shd w:val="clear" w:color="auto" w:fill="FFFFFF"/>
        <w:spacing w:before="100" w:beforeAutospacing="1" w:after="100" w:afterAutospacing="1"/>
        <w:rPr>
          <w:rFonts w:ascii="Verdana" w:hAnsi="Verdana"/>
          <w:sz w:val="20"/>
          <w:szCs w:val="20"/>
        </w:rPr>
      </w:pPr>
      <w:r w:rsidRPr="00DF4E66">
        <w:rPr>
          <w:rFonts w:ascii="Verdana" w:hAnsi="Verdana"/>
          <w:sz w:val="20"/>
          <w:szCs w:val="20"/>
        </w:rPr>
        <w:t>1</w:t>
      </w:r>
      <w:r w:rsidR="00254AEB" w:rsidRPr="00DF4E66">
        <w:rPr>
          <w:rFonts w:ascii="Verdana" w:hAnsi="Verdana"/>
          <w:sz w:val="20"/>
          <w:szCs w:val="20"/>
        </w:rPr>
        <w:t>3</w:t>
      </w:r>
      <w:r w:rsidRPr="00DF4E66">
        <w:rPr>
          <w:rFonts w:ascii="Verdana" w:hAnsi="Verdana"/>
          <w:sz w:val="20"/>
          <w:szCs w:val="20"/>
        </w:rPr>
        <w:t>.- ¿CUÁL</w:t>
      </w:r>
      <w:r w:rsidRPr="00DF4E66">
        <w:rPr>
          <w:rFonts w:ascii="Verdana" w:hAnsi="Verdana"/>
          <w:sz w:val="20"/>
          <w:szCs w:val="20"/>
        </w:rPr>
        <w:t xml:space="preserve"> </w:t>
      </w:r>
      <w:r w:rsidRPr="00DF4E66">
        <w:rPr>
          <w:rFonts w:ascii="Verdana" w:hAnsi="Verdana"/>
          <w:sz w:val="20"/>
          <w:szCs w:val="20"/>
        </w:rPr>
        <w:t xml:space="preserve">ES </w:t>
      </w:r>
      <w:r w:rsidRPr="00DF4E66">
        <w:rPr>
          <w:rFonts w:ascii="Verdana" w:hAnsi="Verdana"/>
          <w:sz w:val="20"/>
          <w:szCs w:val="20"/>
        </w:rPr>
        <w:t>CUADRO CLÍNICO</w:t>
      </w:r>
      <w:r w:rsidRPr="00DF4E66">
        <w:rPr>
          <w:rFonts w:ascii="Verdana" w:hAnsi="Verdana"/>
          <w:sz w:val="20"/>
          <w:szCs w:val="20"/>
        </w:rPr>
        <w:t xml:space="preserve"> DEL SÍNDROME DE MARFAN?</w:t>
      </w:r>
    </w:p>
    <w:p w14:paraId="07F85566" w14:textId="18AE38CF" w:rsidR="002E2655" w:rsidRPr="002E2655" w:rsidRDefault="002E2655" w:rsidP="002E2655">
      <w:pPr>
        <w:shd w:val="clear" w:color="auto" w:fill="FFFFFF"/>
        <w:spacing w:before="100" w:beforeAutospacing="1" w:after="100" w:afterAutospacing="1"/>
        <w:rPr>
          <w:rFonts w:ascii="Verdana" w:hAnsi="Verdana"/>
          <w:sz w:val="20"/>
          <w:szCs w:val="20"/>
        </w:rPr>
      </w:pPr>
      <w:r w:rsidRPr="002E2655">
        <w:rPr>
          <w:rFonts w:ascii="Verdana" w:hAnsi="Verdana"/>
          <w:sz w:val="20"/>
          <w:szCs w:val="20"/>
        </w:rPr>
        <w:t>Existen 3 formas de presentación relacionadas estrechamente con la edad, con cuadros clínicos y pronósticos bien definidos: a) Marfán neonatal, b) Marfán infantil, c) Marfán clásico.</w:t>
      </w:r>
    </w:p>
    <w:p w14:paraId="5CF0E6E5" w14:textId="4A00C7AC" w:rsidR="002E2655" w:rsidRPr="00DF4E66" w:rsidRDefault="002E2655" w:rsidP="002E2655">
      <w:pPr>
        <w:shd w:val="clear" w:color="auto" w:fill="FFFFFF"/>
        <w:spacing w:before="100" w:beforeAutospacing="1" w:after="100" w:afterAutospacing="1"/>
        <w:rPr>
          <w:rFonts w:ascii="Verdana" w:hAnsi="Verdana"/>
          <w:sz w:val="20"/>
          <w:szCs w:val="20"/>
        </w:rPr>
      </w:pPr>
      <w:r w:rsidRPr="002E2655">
        <w:rPr>
          <w:rFonts w:ascii="Verdana" w:hAnsi="Verdana"/>
          <w:i/>
          <w:iCs/>
          <w:sz w:val="20"/>
          <w:szCs w:val="20"/>
        </w:rPr>
        <w:t>a. Marfán neonatal.</w:t>
      </w:r>
      <w:r w:rsidRPr="002E2655">
        <w:rPr>
          <w:rFonts w:ascii="Verdana" w:hAnsi="Verdana"/>
          <w:sz w:val="20"/>
          <w:szCs w:val="20"/>
        </w:rPr>
        <w:t xml:space="preserve"> Los escasos casos reportados han sido esporádicos. En la </w:t>
      </w:r>
      <w:r w:rsidRPr="002E2655">
        <w:rPr>
          <w:rFonts w:ascii="Verdana" w:hAnsi="Verdana"/>
          <w:b/>
          <w:bCs/>
          <w:sz w:val="20"/>
          <w:szCs w:val="20"/>
        </w:rPr>
        <w:t xml:space="preserve">ecocardiografía prenatal se ha detectado cardiomegalia con insuficiencia </w:t>
      </w:r>
      <w:r w:rsidRPr="002E2655">
        <w:rPr>
          <w:rFonts w:ascii="Verdana" w:hAnsi="Verdana"/>
          <w:b/>
          <w:bCs/>
          <w:sz w:val="20"/>
          <w:szCs w:val="20"/>
        </w:rPr>
        <w:lastRenderedPageBreak/>
        <w:t>tricuspídea severa</w:t>
      </w:r>
      <w:r w:rsidRPr="002E2655">
        <w:rPr>
          <w:rFonts w:ascii="Verdana" w:hAnsi="Verdana"/>
          <w:sz w:val="20"/>
          <w:szCs w:val="20"/>
        </w:rPr>
        <w:t>. Al nacer, se evidencia alteraciones esqueléticas y de piel (extremidades largas con dedos finos, aspecto envejecido, piel laxa, hipotonía, alteraciones del tórax, contracturas en flexión, micrognatia) y cardiovasculares (insuficiencia mitral y tricuspídea severas, cardiomegalia, dilatación aórtica y pulmonar, arritmias, prolapso mitral y tricuspídeo, aneurismas masivos de la aorta ascendente y descendente). La muerte ocurre en horas o días por insuficiencia cardíaca</w:t>
      </w:r>
      <w:r w:rsidRPr="00DF4E66">
        <w:rPr>
          <w:rFonts w:ascii="Verdana" w:hAnsi="Verdana"/>
          <w:sz w:val="20"/>
          <w:szCs w:val="20"/>
        </w:rPr>
        <w:t>.</w:t>
      </w:r>
    </w:p>
    <w:p w14:paraId="44A940E3" w14:textId="57377A8E" w:rsidR="002E2655" w:rsidRPr="002E2655" w:rsidRDefault="002E2655" w:rsidP="002E2655">
      <w:r w:rsidRPr="002E2655">
        <w:rPr>
          <w:rFonts w:ascii="Verdana" w:hAnsi="Verdana"/>
          <w:i/>
          <w:iCs/>
          <w:shd w:val="clear" w:color="auto" w:fill="FFFFFF"/>
        </w:rPr>
        <w:t>b. Marfán infantil.</w:t>
      </w:r>
      <w:r w:rsidRPr="002E2655">
        <w:rPr>
          <w:rFonts w:ascii="Verdana" w:hAnsi="Verdana"/>
          <w:shd w:val="clear" w:color="auto" w:fill="FFFFFF"/>
        </w:rPr>
        <w:t xml:space="preserve"> </w:t>
      </w:r>
      <w:r w:rsidR="001C10F8" w:rsidRPr="00DF4E66">
        <w:rPr>
          <w:rFonts w:ascii="Verdana" w:hAnsi="Verdana"/>
          <w:shd w:val="clear" w:color="auto" w:fill="FFFFFF"/>
        </w:rPr>
        <w:t>S</w:t>
      </w:r>
      <w:r w:rsidRPr="002E2655">
        <w:rPr>
          <w:rFonts w:ascii="Verdana" w:hAnsi="Verdana"/>
          <w:shd w:val="clear" w:color="auto" w:fill="FFFFFF"/>
        </w:rPr>
        <w:t>e describe mayor frecuencia en hombres (2/3 de los casos), predominio de casos esporádicos (70%) y edad media al diagnóstico de 3,2 meses; con compromiso esquelético en 100% de los pacientes</w:t>
      </w:r>
      <w:r w:rsidR="001C10F8" w:rsidRPr="00DF4E66">
        <w:rPr>
          <w:rFonts w:ascii="Verdana" w:hAnsi="Verdana"/>
          <w:shd w:val="clear" w:color="auto" w:fill="FFFFFF"/>
        </w:rPr>
        <w:t xml:space="preserve"> (Aracnodactilia, pie plano, alteraciones faciales, paladar ojival, escoliosis y defromidad del tórax)</w:t>
      </w:r>
      <w:r w:rsidRPr="002E2655">
        <w:rPr>
          <w:rFonts w:ascii="Verdana" w:hAnsi="Verdana"/>
          <w:shd w:val="clear" w:color="auto" w:fill="FFFFFF"/>
        </w:rPr>
        <w:t xml:space="preserve"> y anomalías oculares en 83%. Respecto del compromiso cardiovascular, las lesiones más frecuentes fueron: </w:t>
      </w:r>
      <w:r w:rsidRPr="002E2655">
        <w:rPr>
          <w:rFonts w:ascii="Verdana" w:hAnsi="Verdana"/>
          <w:b/>
          <w:bCs/>
          <w:shd w:val="clear" w:color="auto" w:fill="FFFFFF"/>
        </w:rPr>
        <w:t>prolapso mitral, 96%, dilatación raíz aórtica, 86% e insuficiencia mitral, 84%.</w:t>
      </w:r>
      <w:r w:rsidRPr="002E2655">
        <w:rPr>
          <w:rFonts w:ascii="Verdana" w:hAnsi="Verdana"/>
          <w:shd w:val="clear" w:color="auto" w:fill="FFFFFF"/>
        </w:rPr>
        <w:t xml:space="preserve"> </w:t>
      </w:r>
    </w:p>
    <w:p w14:paraId="1AF8E70E" w14:textId="118E3157" w:rsidR="002E2655" w:rsidRPr="002E2655" w:rsidRDefault="002E2655" w:rsidP="00254AEB">
      <w:pPr>
        <w:rPr>
          <w:rFonts w:ascii="Verdana" w:hAnsi="Verdana"/>
          <w:b/>
          <w:bCs/>
          <w:sz w:val="20"/>
          <w:szCs w:val="20"/>
        </w:rPr>
      </w:pPr>
      <w:r w:rsidRPr="002E2655">
        <w:rPr>
          <w:rFonts w:ascii="Verdana" w:hAnsi="Verdana"/>
          <w:i/>
          <w:iCs/>
          <w:shd w:val="clear" w:color="auto" w:fill="FFFFFF"/>
        </w:rPr>
        <w:t>c. Marfán clásico.</w:t>
      </w:r>
      <w:r w:rsidRPr="002E2655">
        <w:rPr>
          <w:rFonts w:ascii="Verdana" w:hAnsi="Verdana"/>
          <w:shd w:val="clear" w:color="auto" w:fill="FFFFFF"/>
        </w:rPr>
        <w:t> Esta forma de presentación es la más frecuente y reconocida y se presenta en niños, adolescentes y adultos.</w:t>
      </w:r>
      <w:r w:rsidR="001C10F8" w:rsidRPr="00DF4E66">
        <w:rPr>
          <w:rFonts w:ascii="Verdana" w:hAnsi="Verdana"/>
          <w:shd w:val="clear" w:color="auto" w:fill="FFFFFF"/>
        </w:rPr>
        <w:t xml:space="preserve"> </w:t>
      </w:r>
      <w:r w:rsidRPr="002E2655">
        <w:rPr>
          <w:rFonts w:ascii="Verdana" w:hAnsi="Verdana"/>
          <w:shd w:val="clear" w:color="auto" w:fill="FFFFFF"/>
        </w:rPr>
        <w:t>Las alteraciones esqueléticas son las más frecuentes y precoces de detectar y por ello son las que primero establecen la sospecha de la enfermedad. Son progresivas con la edad y se completan en la adolescencia. Destacan por su frecuencia la talla alta con mayor envergadura, </w:t>
      </w:r>
      <w:r w:rsidRPr="002E2655">
        <w:rPr>
          <w:rFonts w:ascii="Verdana" w:hAnsi="Verdana"/>
          <w:i/>
          <w:iCs/>
          <w:shd w:val="clear" w:color="auto" w:fill="FFFFFF"/>
        </w:rPr>
        <w:t>pectum excavatum</w:t>
      </w:r>
      <w:r w:rsidRPr="002E2655">
        <w:rPr>
          <w:rFonts w:ascii="Verdana" w:hAnsi="Verdana"/>
          <w:shd w:val="clear" w:color="auto" w:fill="FFFFFF"/>
        </w:rPr>
        <w:t> o </w:t>
      </w:r>
      <w:r w:rsidRPr="002E2655">
        <w:rPr>
          <w:rFonts w:ascii="Verdana" w:hAnsi="Verdana"/>
          <w:i/>
          <w:iCs/>
          <w:shd w:val="clear" w:color="auto" w:fill="FFFFFF"/>
        </w:rPr>
        <w:t>carinatum,</w:t>
      </w:r>
      <w:r w:rsidRPr="002E2655">
        <w:rPr>
          <w:rFonts w:ascii="Verdana" w:hAnsi="Verdana"/>
          <w:shd w:val="clear" w:color="auto" w:fill="FFFFFF"/>
        </w:rPr>
        <w:t xml:space="preserve"> aracnodactilia, escoliosis, hipermotilidad articular y paladar ojival. La evaluación clínica se puede complementar con </w:t>
      </w:r>
      <w:r w:rsidRPr="002E2655">
        <w:rPr>
          <w:rFonts w:ascii="Verdana" w:hAnsi="Verdana"/>
          <w:b/>
          <w:bCs/>
          <w:shd w:val="clear" w:color="auto" w:fill="FFFFFF"/>
        </w:rPr>
        <w:t>estudios radiográficos, principalmente con radiografía de pelvis, cuando se requiere detectar protrusión acetabular</w:t>
      </w:r>
      <w:r w:rsidRPr="002E2655">
        <w:rPr>
          <w:rFonts w:ascii="Verdana" w:hAnsi="Verdana"/>
          <w:shd w:val="clear" w:color="auto" w:fill="FFFFFF"/>
        </w:rPr>
        <w:t>. Las lesiones cardiovasculares determinan el pronóstico del síndrome de Marfán, ya que son las que ocasionan la mayor mortalidad, con 70%-95% de los casos</w:t>
      </w:r>
      <w:r w:rsidRPr="002E2655">
        <w:rPr>
          <w:rFonts w:ascii="Verdana" w:hAnsi="Verdana"/>
          <w:shd w:val="clear" w:color="auto" w:fill="FFFFFF"/>
          <w:vertAlign w:val="superscript"/>
        </w:rPr>
        <w:t>13</w:t>
      </w:r>
      <w:r w:rsidRPr="002E2655">
        <w:rPr>
          <w:rFonts w:ascii="Verdana" w:hAnsi="Verdana"/>
          <w:shd w:val="clear" w:color="auto" w:fill="FFFFFF"/>
        </w:rPr>
        <w:t xml:space="preserve">, siendo más específica y frecuente la dilatación aórtica. </w:t>
      </w:r>
      <w:r w:rsidRPr="002E2655">
        <w:rPr>
          <w:rFonts w:ascii="Verdana" w:hAnsi="Verdana"/>
          <w:b/>
          <w:bCs/>
          <w:shd w:val="clear" w:color="auto" w:fill="FFFFFF"/>
        </w:rPr>
        <w:t>La tomografía axial computada (TAC) es necesaria en pacientes que presenten dilatación aórtica acentuada</w:t>
      </w:r>
      <w:r w:rsidRPr="002E2655">
        <w:rPr>
          <w:rFonts w:ascii="Verdana" w:hAnsi="Verdana"/>
          <w:shd w:val="clear" w:color="auto" w:fill="FFFFFF"/>
        </w:rPr>
        <w:t xml:space="preserve"> (cercana a 50 mm por ecocardiografía en pacientes con talla adulta), para tener una medición más precisa, a objeto de determinar requerimientos de cirugía. </w:t>
      </w:r>
      <w:r w:rsidRPr="002E2655">
        <w:rPr>
          <w:rFonts w:ascii="Verdana" w:hAnsi="Verdana"/>
          <w:b/>
          <w:bCs/>
          <w:shd w:val="clear" w:color="auto" w:fill="FFFFFF"/>
        </w:rPr>
        <w:t>La resonancia magnética (RM) se ha empleado en forma precoz para evaluar la distensibilidad aórtica</w:t>
      </w:r>
      <w:r w:rsidRPr="002E2655">
        <w:rPr>
          <w:rFonts w:ascii="Verdana" w:hAnsi="Verdana"/>
          <w:shd w:val="clear" w:color="auto" w:fill="FFFFFF"/>
        </w:rPr>
        <w:t>, que es un indicador del estado de sus propiedades elásticas y por ello permite detectar compromiso antes que ocurra la dilatación. También se ha señalado como útil para detectar asimetría de la raíz aórtica, como signo temprano de riesgo de disección y por ser más precisa que la ecocardiografía en las lesiones de arco aórtico en adultos</w:t>
      </w:r>
      <w:r w:rsidRPr="002E2655">
        <w:rPr>
          <w:rFonts w:ascii="Verdana" w:hAnsi="Verdana"/>
          <w:shd w:val="clear" w:color="auto" w:fill="FFFFFF"/>
          <w:vertAlign w:val="superscript"/>
        </w:rPr>
        <w:t>17-21</w:t>
      </w:r>
      <w:r w:rsidRPr="002E2655">
        <w:rPr>
          <w:rFonts w:ascii="Verdana" w:hAnsi="Verdana"/>
          <w:shd w:val="clear" w:color="auto" w:fill="FFFFFF"/>
        </w:rPr>
        <w:t xml:space="preserve">. El compromiso ocular es frecuente (70%) y progresivo. La lesión más específica para el diagnóstico es la subluxación del cristalino, sin embargo, es necesario también identificar vicios de refracción para preservar la máxima función visual. Existe mayor riesgo de glaucoma, cataratas y desprendimiento de retina, aun en ausencia de subluxación </w:t>
      </w:r>
      <w:r w:rsidRPr="002E2655">
        <w:rPr>
          <w:rFonts w:ascii="Verdana" w:hAnsi="Verdana"/>
          <w:shd w:val="clear" w:color="auto" w:fill="FFFFFF"/>
        </w:rPr>
        <w:lastRenderedPageBreak/>
        <w:t xml:space="preserve">de cristalino. El estudio oftalmológico se realiza por evaluación del segmento anterior mediante biomicroscopia, córnea plana por queratometría y miopía axial por ultrasonido o refractometría. El daño pulmonar debe sospecharse con síntomas sugerentes de neumotórax o con radiografía de tórax que presente bulas apicales. La evaluación de piel y tegumentos en búsqueda de estrías atróficas no relacionadas a cambios bruscos de peso ni embarazo y hernias insicionales o recurrentes, debe ser rutinaria, ya que contribuye a aportar información para el caso de pacientes con cuadros clínicos sospechosos pero incompletos. </w:t>
      </w:r>
      <w:r w:rsidRPr="002E2655">
        <w:rPr>
          <w:rFonts w:ascii="Verdana" w:hAnsi="Verdana"/>
          <w:b/>
          <w:bCs/>
          <w:shd w:val="clear" w:color="auto" w:fill="FFFFFF"/>
        </w:rPr>
        <w:t>La ectasia dural es una dilatación del saco dural principalmente lumbosacro, asintomática. En casos extremos puede provocar erosión vertebral y meningocele anterior. Se han descrito cefaleas posturales por extravasación de líquido cefalorraquídeo (LCR) e hipotensión intracraneal. El diagnóstico se puede realizar por TAC y RM.</w:t>
      </w:r>
    </w:p>
    <w:p w14:paraId="719F513D" w14:textId="2B1068C2" w:rsidR="002E2655" w:rsidRPr="00F34E1A" w:rsidRDefault="00F92FCC" w:rsidP="00F34E1A">
      <w:pPr>
        <w:shd w:val="clear" w:color="auto" w:fill="FFFFFF"/>
        <w:spacing w:before="100" w:beforeAutospacing="1" w:after="100" w:afterAutospacing="1"/>
        <w:rPr>
          <w:rFonts w:ascii="Verdana" w:hAnsi="Verdana"/>
          <w:sz w:val="20"/>
          <w:szCs w:val="20"/>
        </w:rPr>
      </w:pPr>
      <w:r w:rsidRPr="00DF4E66">
        <w:rPr>
          <w:rFonts w:ascii="Verdana" w:hAnsi="Verdana"/>
          <w:sz w:val="20"/>
          <w:szCs w:val="20"/>
        </w:rPr>
        <w:t>1</w:t>
      </w:r>
      <w:r w:rsidRPr="00DF4E66">
        <w:rPr>
          <w:rFonts w:ascii="Verdana" w:hAnsi="Verdana"/>
          <w:sz w:val="20"/>
          <w:szCs w:val="20"/>
        </w:rPr>
        <w:t>4</w:t>
      </w:r>
      <w:r w:rsidRPr="00DF4E66">
        <w:rPr>
          <w:rFonts w:ascii="Verdana" w:hAnsi="Verdana"/>
          <w:sz w:val="20"/>
          <w:szCs w:val="20"/>
        </w:rPr>
        <w:t>.- ¿</w:t>
      </w:r>
      <w:r w:rsidRPr="00DF4E66">
        <w:rPr>
          <w:rFonts w:ascii="Verdana" w:hAnsi="Verdana"/>
          <w:sz w:val="20"/>
          <w:szCs w:val="20"/>
        </w:rPr>
        <w:t>CARÁCTER</w:t>
      </w:r>
      <w:r w:rsidRPr="00DF4E66">
        <w:rPr>
          <w:rFonts w:ascii="Verdana" w:hAnsi="Verdana"/>
          <w:sz w:val="20"/>
          <w:szCs w:val="20"/>
          <w:lang w:val="es-ES_tradnl"/>
        </w:rPr>
        <w:t>ÍSTICAS DE IMAGEN DE</w:t>
      </w:r>
      <w:r w:rsidR="00221045">
        <w:rPr>
          <w:rFonts w:ascii="Verdana" w:hAnsi="Verdana"/>
          <w:sz w:val="20"/>
          <w:szCs w:val="20"/>
          <w:lang w:val="es-ES_tradnl"/>
        </w:rPr>
        <w:t xml:space="preserve"> </w:t>
      </w:r>
      <w:r w:rsidRPr="00DF4E66">
        <w:rPr>
          <w:rFonts w:ascii="Verdana" w:hAnsi="Verdana"/>
          <w:sz w:val="20"/>
          <w:szCs w:val="20"/>
          <w:lang w:val="es-ES_tradnl"/>
        </w:rPr>
        <w:t>L</w:t>
      </w:r>
      <w:r w:rsidR="00221045">
        <w:rPr>
          <w:rFonts w:ascii="Verdana" w:hAnsi="Verdana"/>
          <w:sz w:val="20"/>
          <w:szCs w:val="20"/>
          <w:lang w:val="es-ES_tradnl"/>
        </w:rPr>
        <w:t>OS</w:t>
      </w:r>
      <w:r w:rsidRPr="00DF4E66">
        <w:rPr>
          <w:rFonts w:ascii="Verdana" w:hAnsi="Verdana"/>
          <w:sz w:val="20"/>
          <w:szCs w:val="20"/>
          <w:lang w:val="es-ES_tradnl"/>
        </w:rPr>
        <w:t xml:space="preserve"> ANEURISMA</w:t>
      </w:r>
      <w:r w:rsidR="00221045">
        <w:rPr>
          <w:rFonts w:ascii="Verdana" w:hAnsi="Verdana"/>
          <w:sz w:val="20"/>
          <w:szCs w:val="20"/>
          <w:lang w:val="es-ES_tradnl"/>
        </w:rPr>
        <w:t xml:space="preserve"> AÓRTICOS</w:t>
      </w:r>
      <w:r w:rsidRPr="00DF4E66">
        <w:rPr>
          <w:rFonts w:ascii="Verdana" w:hAnsi="Verdana"/>
          <w:sz w:val="20"/>
          <w:szCs w:val="20"/>
          <w:lang w:val="es-ES_tradnl"/>
        </w:rPr>
        <w:t xml:space="preserve"> Y AQUE SE ASOCIA PRINCIPALMENTE</w:t>
      </w:r>
      <w:r w:rsidRPr="00DF4E66">
        <w:rPr>
          <w:rFonts w:ascii="Verdana" w:hAnsi="Verdana"/>
          <w:sz w:val="20"/>
          <w:szCs w:val="20"/>
        </w:rPr>
        <w:t>?</w:t>
      </w:r>
    </w:p>
    <w:p w14:paraId="3529F3D0" w14:textId="334AC4B1"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xml:space="preserve">ANEURISMAS </w:t>
      </w:r>
    </w:p>
    <w:p w14:paraId="0569F68E" w14:textId="77777777" w:rsidR="00221045"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El aneurisma consiste en la dilatación permanente de un segmento de la aorta en &gt; 50% de su diámetro</w:t>
      </w:r>
      <w:r w:rsidRPr="00DF4E66">
        <w:rPr>
          <w:rFonts w:ascii="&gt;#â˛" w:eastAsiaTheme="minorHAnsi" w:hAnsi="&gt;#â˛" w:cs="&gt;#â˛"/>
          <w:lang w:eastAsia="en-US"/>
        </w:rPr>
        <w:t xml:space="preserve"> </w:t>
      </w:r>
      <w:r w:rsidRPr="00DF4E66">
        <w:rPr>
          <w:rFonts w:ascii="&gt;#â˛" w:eastAsiaTheme="minorHAnsi" w:hAnsi="&gt;#â˛" w:cs="&gt;#â˛"/>
          <w:lang w:eastAsia="en-US"/>
        </w:rPr>
        <w:t>normal. Se considera aneurisma aórtico</w:t>
      </w:r>
      <w:r w:rsidR="00221045">
        <w:rPr>
          <w:rFonts w:ascii="&gt;#â˛" w:eastAsiaTheme="minorHAnsi" w:hAnsi="&gt;#â˛" w:cs="&gt;#â˛"/>
          <w:lang w:eastAsia="en-US"/>
        </w:rPr>
        <w:t>:</w:t>
      </w:r>
    </w:p>
    <w:p w14:paraId="7A4D6AE8" w14:textId="77777777" w:rsidR="00221045" w:rsidRDefault="00221045" w:rsidP="00221045">
      <w:pPr>
        <w:pStyle w:val="Prrafodelista"/>
        <w:numPr>
          <w:ilvl w:val="2"/>
          <w:numId w:val="3"/>
        </w:numPr>
        <w:autoSpaceDE w:val="0"/>
        <w:autoSpaceDN w:val="0"/>
        <w:adjustRightInd w:val="0"/>
        <w:rPr>
          <w:rFonts w:ascii="&gt;#â˛" w:eastAsiaTheme="minorHAnsi" w:hAnsi="&gt;#â˛" w:cs="&gt;#â˛"/>
          <w:lang w:eastAsia="en-US"/>
        </w:rPr>
      </w:pPr>
      <w:r>
        <w:rPr>
          <w:rFonts w:ascii="&gt;#â˛" w:eastAsiaTheme="minorHAnsi" w:hAnsi="&gt;#â˛" w:cs="&gt;#â˛"/>
          <w:lang w:eastAsia="en-US"/>
        </w:rPr>
        <w:t>U</w:t>
      </w:r>
      <w:r w:rsidR="00F92FCC" w:rsidRPr="00221045">
        <w:rPr>
          <w:rFonts w:ascii="&gt;#â˛" w:eastAsiaTheme="minorHAnsi" w:hAnsi="&gt;#â˛" w:cs="&gt;#â˛"/>
          <w:lang w:eastAsia="en-US"/>
        </w:rPr>
        <w:t>n diámetro &gt; 4 – 5 cm en la aorta ascendente</w:t>
      </w:r>
    </w:p>
    <w:p w14:paraId="13D8263B" w14:textId="77777777" w:rsidR="00221045" w:rsidRDefault="00F92FCC" w:rsidP="00221045">
      <w:pPr>
        <w:pStyle w:val="Prrafodelista"/>
        <w:numPr>
          <w:ilvl w:val="2"/>
          <w:numId w:val="3"/>
        </w:numPr>
        <w:autoSpaceDE w:val="0"/>
        <w:autoSpaceDN w:val="0"/>
        <w:adjustRightInd w:val="0"/>
        <w:rPr>
          <w:rFonts w:ascii="&gt;#â˛" w:eastAsiaTheme="minorHAnsi" w:hAnsi="&gt;#â˛" w:cs="&gt;#â˛"/>
          <w:lang w:eastAsia="en-US"/>
        </w:rPr>
      </w:pPr>
      <w:r w:rsidRPr="00221045">
        <w:rPr>
          <w:rFonts w:ascii="&gt;#â˛" w:eastAsiaTheme="minorHAnsi" w:hAnsi="&gt;#â˛" w:cs="&gt;#â˛"/>
          <w:lang w:eastAsia="en-US"/>
        </w:rPr>
        <w:t>&gt; 3 – 4 cm en</w:t>
      </w:r>
      <w:r w:rsidRPr="00221045">
        <w:rPr>
          <w:rFonts w:ascii="&gt;#â˛" w:eastAsiaTheme="minorHAnsi" w:hAnsi="&gt;#â˛" w:cs="&gt;#â˛"/>
          <w:lang w:eastAsia="en-US"/>
        </w:rPr>
        <w:t xml:space="preserve"> </w:t>
      </w:r>
      <w:r w:rsidRPr="00221045">
        <w:rPr>
          <w:rFonts w:ascii="&gt;#â˛" w:eastAsiaTheme="minorHAnsi" w:hAnsi="&gt;#â˛" w:cs="&gt;#â˛"/>
          <w:lang w:eastAsia="en-US"/>
        </w:rPr>
        <w:t xml:space="preserve">aorta descendente torácica </w:t>
      </w:r>
    </w:p>
    <w:p w14:paraId="33E6C488" w14:textId="663F5A8E" w:rsidR="00F92FCC" w:rsidRPr="00221045" w:rsidRDefault="00F92FCC" w:rsidP="00221045">
      <w:pPr>
        <w:pStyle w:val="Prrafodelista"/>
        <w:numPr>
          <w:ilvl w:val="2"/>
          <w:numId w:val="3"/>
        </w:numPr>
        <w:autoSpaceDE w:val="0"/>
        <w:autoSpaceDN w:val="0"/>
        <w:adjustRightInd w:val="0"/>
        <w:rPr>
          <w:rFonts w:ascii="&gt;#â˛" w:eastAsiaTheme="minorHAnsi" w:hAnsi="&gt;#â˛" w:cs="&gt;#â˛"/>
          <w:lang w:eastAsia="en-US"/>
        </w:rPr>
      </w:pPr>
      <w:r w:rsidRPr="00221045">
        <w:rPr>
          <w:rFonts w:ascii="&gt;#â˛" w:eastAsiaTheme="minorHAnsi" w:hAnsi="&gt;#â˛" w:cs="&gt;#â˛"/>
          <w:lang w:eastAsia="en-US"/>
        </w:rPr>
        <w:t>&gt; 3 cm en aorta abdominal.</w:t>
      </w:r>
    </w:p>
    <w:p w14:paraId="370E62F6"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Aparecen más frecuentemente en hombres &gt;65 años.</w:t>
      </w:r>
    </w:p>
    <w:p w14:paraId="3DF741C5"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Aneurisma verdadero: abarca todas las capas de la pared vascular.</w:t>
      </w:r>
    </w:p>
    <w:p w14:paraId="51A30A91"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Seudoaneurisma: pared incompleta.</w:t>
      </w:r>
    </w:p>
    <w:p w14:paraId="76D93B02"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Los aneurismas también se clasifican, según su morfología,en:</w:t>
      </w:r>
    </w:p>
    <w:p w14:paraId="06B9AFDF"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Fusiforme: dilatación difusa de toda la circunferencia de la pared aórtica.</w:t>
      </w:r>
    </w:p>
    <w:p w14:paraId="1C9CA01B" w14:textId="6E37019C"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Sacular: evaginación de una parte de la circunferencia de la pared vascular.</w:t>
      </w:r>
    </w:p>
    <w:p w14:paraId="1EE875C2"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Indicaciones de cirugía:</w:t>
      </w:r>
    </w:p>
    <w:p w14:paraId="56FA5C88"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Aneurismas sintomáticos.</w:t>
      </w:r>
    </w:p>
    <w:p w14:paraId="5DBCAB11"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Diámetro de aorta ascendente &gt;5,5 - 6 cm.</w:t>
      </w:r>
    </w:p>
    <w:p w14:paraId="29FB86F7"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Diámetro de aorta descendente &gt; 6,5 - 7 cm.</w:t>
      </w:r>
    </w:p>
    <w:p w14:paraId="317578C4"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Aumento de &gt;1 cm de diámetro en un año.</w:t>
      </w:r>
    </w:p>
    <w:p w14:paraId="4F45B69B" w14:textId="2388FA70"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 xml:space="preserve">• En pacientes con síndrome de </w:t>
      </w:r>
      <w:r w:rsidRPr="00DF4E66">
        <w:rPr>
          <w:rFonts w:ascii="&gt;#â˛" w:eastAsiaTheme="minorHAnsi" w:hAnsi="&gt;#â˛" w:cs="&gt;#â˛"/>
          <w:b/>
          <w:bCs/>
          <w:lang w:eastAsia="en-US"/>
        </w:rPr>
        <w:t>Marfan o válvula aórtica bicúspide</w:t>
      </w:r>
      <w:r w:rsidRPr="00DF4E66">
        <w:rPr>
          <w:rFonts w:ascii="&gt;#â˛" w:eastAsiaTheme="minorHAnsi" w:hAnsi="&gt;#â˛" w:cs="&gt;#â˛"/>
          <w:lang w:eastAsia="en-US"/>
        </w:rPr>
        <w:t>, se considera la cirugía en caso</w:t>
      </w:r>
      <w:r w:rsidRPr="00DF4E66">
        <w:rPr>
          <w:rFonts w:ascii="&gt;#â˛" w:eastAsiaTheme="minorHAnsi" w:hAnsi="&gt;#â˛" w:cs="&gt;#â˛"/>
          <w:lang w:eastAsia="en-US"/>
        </w:rPr>
        <w:t xml:space="preserve"> </w:t>
      </w:r>
      <w:r w:rsidRPr="00DF4E66">
        <w:rPr>
          <w:rFonts w:ascii="&gt;#â˛" w:eastAsiaTheme="minorHAnsi" w:hAnsi="&gt;#â˛" w:cs="&gt;#â˛"/>
          <w:lang w:eastAsia="en-US"/>
        </w:rPr>
        <w:t>de aneurismas de la aorta ascendente &gt; 4,5 - 5 cm, pudiendo requerir la reconstrucción de la raíz</w:t>
      </w:r>
      <w:r w:rsidRPr="00DF4E66">
        <w:rPr>
          <w:rFonts w:ascii="&gt;#â˛" w:eastAsiaTheme="minorHAnsi" w:hAnsi="&gt;#â˛" w:cs="&gt;#â˛"/>
          <w:lang w:eastAsia="en-US"/>
        </w:rPr>
        <w:t xml:space="preserve"> </w:t>
      </w:r>
      <w:r w:rsidRPr="00DF4E66">
        <w:rPr>
          <w:rFonts w:ascii="&gt;#â˛" w:eastAsiaTheme="minorHAnsi" w:hAnsi="&gt;#â˛" w:cs="&gt;#â˛"/>
          <w:lang w:eastAsia="en-US"/>
        </w:rPr>
        <w:t>aórtica y la sustitución de la válvula aórtica con reimplantación de las arterias coronarias nativas.</w:t>
      </w:r>
    </w:p>
    <w:p w14:paraId="58FC59ED" w14:textId="77777777" w:rsidR="00F92FCC" w:rsidRPr="00DF4E66" w:rsidRDefault="00F92FCC" w:rsidP="00F92FCC">
      <w:pPr>
        <w:autoSpaceDE w:val="0"/>
        <w:autoSpaceDN w:val="0"/>
        <w:adjustRightInd w:val="0"/>
        <w:rPr>
          <w:rFonts w:ascii="&gt;#â˛" w:eastAsiaTheme="minorHAnsi" w:hAnsi="&gt;#â˛" w:cs="&gt;#â˛"/>
          <w:lang w:eastAsia="en-US"/>
        </w:rPr>
      </w:pPr>
    </w:p>
    <w:p w14:paraId="1B788D6B" w14:textId="1B5B9BAD" w:rsidR="00F92FCC" w:rsidRPr="00DF4E66" w:rsidRDefault="00F92FCC" w:rsidP="00F92FCC">
      <w:pPr>
        <w:autoSpaceDE w:val="0"/>
        <w:autoSpaceDN w:val="0"/>
        <w:adjustRightInd w:val="0"/>
        <w:rPr>
          <w:rFonts w:ascii="&gt;#â˛" w:eastAsiaTheme="minorHAnsi" w:hAnsi="&gt;#â˛" w:cs="&gt;#â˛"/>
          <w:b/>
          <w:bCs/>
          <w:lang w:eastAsia="en-US"/>
        </w:rPr>
      </w:pPr>
      <w:r w:rsidRPr="00DF4E66">
        <w:rPr>
          <w:rFonts w:ascii="&gt;#â˛" w:eastAsiaTheme="minorHAnsi" w:hAnsi="&gt;#â˛" w:cs="&gt;#â˛"/>
          <w:b/>
          <w:bCs/>
          <w:lang w:eastAsia="en-US"/>
        </w:rPr>
        <w:t>LAS CAUSAS PRINCIPALES SON:</w:t>
      </w:r>
    </w:p>
    <w:p w14:paraId="3FB6F816" w14:textId="06F90D1C"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ATEROESCLERÓTICOS:</w:t>
      </w:r>
    </w:p>
    <w:p w14:paraId="78C4ABFF" w14:textId="75F7EC6A"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lastRenderedPageBreak/>
        <w:t>Representan la principal causa de aneurisma de aorta torácica, apareciendo más frecuentemente en</w:t>
      </w:r>
      <w:r w:rsidRPr="00DF4E66">
        <w:rPr>
          <w:rFonts w:ascii="&gt;#â˛" w:eastAsiaTheme="minorHAnsi" w:hAnsi="&gt;#â˛" w:cs="&gt;#â˛"/>
          <w:lang w:eastAsia="en-US"/>
        </w:rPr>
        <w:t xml:space="preserve"> </w:t>
      </w:r>
      <w:r w:rsidRPr="00DF4E66">
        <w:rPr>
          <w:rFonts w:ascii="&gt;#â˛" w:eastAsiaTheme="minorHAnsi" w:hAnsi="&gt;#â˛" w:cs="&gt;#â˛"/>
          <w:lang w:eastAsia="en-US"/>
        </w:rPr>
        <w:t>hombres ancianos y siendo la mayoría de morfología fusiforme.</w:t>
      </w:r>
    </w:p>
    <w:p w14:paraId="0E7BA97E" w14:textId="48AB49B2"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La localización más frecuente es en la aorta torácica descendente proximal, distal a la arteria subclavia</w:t>
      </w:r>
      <w:r w:rsidRPr="00DF4E66">
        <w:rPr>
          <w:rFonts w:ascii="&gt;#â˛" w:eastAsiaTheme="minorHAnsi" w:hAnsi="&gt;#â˛" w:cs="&gt;#â˛"/>
          <w:lang w:eastAsia="en-US"/>
        </w:rPr>
        <w:t xml:space="preserve"> </w:t>
      </w:r>
      <w:r w:rsidRPr="00DF4E66">
        <w:rPr>
          <w:rFonts w:ascii="&gt;#â˛" w:eastAsiaTheme="minorHAnsi" w:hAnsi="&gt;#â˛" w:cs="&gt;#â˛"/>
          <w:lang w:eastAsia="en-US"/>
        </w:rPr>
        <w:t>izquierda, en menor proporción en aorta descendente distal y menos frecuente en aorta ascendente.</w:t>
      </w:r>
      <w:r w:rsidRPr="00DF4E66">
        <w:rPr>
          <w:rFonts w:ascii="&gt;#â˛" w:eastAsiaTheme="minorHAnsi" w:hAnsi="&gt;#â˛" w:cs="&gt;#â˛"/>
          <w:lang w:eastAsia="en-US"/>
        </w:rPr>
        <w:t xml:space="preserve"> </w:t>
      </w:r>
      <w:r w:rsidRPr="00DF4E66">
        <w:rPr>
          <w:rFonts w:ascii="&gt;#â˛" w:eastAsiaTheme="minorHAnsi" w:hAnsi="&gt;#â˛" w:cs="&gt;#â˛"/>
          <w:lang w:eastAsia="en-US"/>
        </w:rPr>
        <w:t>La principal complicación que presentan es la rotura aórtica.</w:t>
      </w:r>
    </w:p>
    <w:p w14:paraId="39220364"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ASOCIADOS A CONECTIVOPATÍAS HEREDITARIAS:</w:t>
      </w:r>
    </w:p>
    <w:p w14:paraId="68E8EB24" w14:textId="77777777" w:rsidR="00F92FCC" w:rsidRPr="00DF4E66" w:rsidRDefault="00F92FCC" w:rsidP="00F92FCC">
      <w:pPr>
        <w:autoSpaceDE w:val="0"/>
        <w:autoSpaceDN w:val="0"/>
        <w:adjustRightInd w:val="0"/>
        <w:rPr>
          <w:rFonts w:ascii="&gt;#â˛" w:eastAsiaTheme="minorHAnsi" w:hAnsi="&gt;#â˛" w:cs="&gt;#â˛"/>
          <w:lang w:eastAsia="en-US"/>
        </w:rPr>
      </w:pPr>
      <w:r w:rsidRPr="00DF4E66">
        <w:rPr>
          <w:rFonts w:ascii="&gt;#â˛" w:eastAsiaTheme="minorHAnsi" w:hAnsi="&gt;#â˛" w:cs="&gt;#â˛"/>
          <w:lang w:eastAsia="en-US"/>
        </w:rPr>
        <w:t>Conectivopatías que pueden ocasionar aneurismas de aorta:</w:t>
      </w:r>
    </w:p>
    <w:p w14:paraId="4A91BFC9" w14:textId="77777777" w:rsidR="00F92FCC" w:rsidRPr="00DF4E66" w:rsidRDefault="00F92FCC" w:rsidP="00F92FCC">
      <w:pPr>
        <w:autoSpaceDE w:val="0"/>
        <w:autoSpaceDN w:val="0"/>
        <w:adjustRightInd w:val="0"/>
        <w:rPr>
          <w:rFonts w:ascii="&gt;#â˛" w:eastAsiaTheme="minorHAnsi" w:hAnsi="&gt;#â˛" w:cs="&gt;#â˛"/>
          <w:b/>
          <w:bCs/>
          <w:lang w:eastAsia="en-US"/>
        </w:rPr>
      </w:pPr>
      <w:r w:rsidRPr="00DF4E66">
        <w:rPr>
          <w:rFonts w:ascii="&gt;#â˛" w:eastAsiaTheme="minorHAnsi" w:hAnsi="&gt;#â˛" w:cs="&gt;#â˛"/>
          <w:lang w:eastAsia="en-US"/>
        </w:rPr>
        <w:t xml:space="preserve">◦ Síndrome de </w:t>
      </w:r>
      <w:r w:rsidRPr="00DF4E66">
        <w:rPr>
          <w:rFonts w:ascii="&gt;#â˛" w:eastAsiaTheme="minorHAnsi" w:hAnsi="&gt;#â˛" w:cs="&gt;#â˛"/>
          <w:b/>
          <w:bCs/>
          <w:lang w:eastAsia="en-US"/>
        </w:rPr>
        <w:t>Marfan</w:t>
      </w:r>
    </w:p>
    <w:p w14:paraId="7A386B4E" w14:textId="399A3233" w:rsidR="00F34E1A" w:rsidRPr="00DF4E66" w:rsidRDefault="00F92FCC" w:rsidP="00F92FCC">
      <w:pPr>
        <w:jc w:val="both"/>
        <w:rPr>
          <w:rFonts w:ascii="&gt;#â˛" w:eastAsiaTheme="minorHAnsi" w:hAnsi="&gt;#â˛" w:cs="&gt;#â˛"/>
          <w:lang w:eastAsia="en-US"/>
        </w:rPr>
      </w:pPr>
      <w:r w:rsidRPr="00DF4E66">
        <w:rPr>
          <w:rFonts w:ascii="&gt;#â˛" w:eastAsiaTheme="minorHAnsi" w:hAnsi="&gt;#â˛" w:cs="&gt;#â˛"/>
          <w:lang w:eastAsia="en-US"/>
        </w:rPr>
        <w:t>◦ Síndrome de Ehlers-Danlos</w:t>
      </w:r>
    </w:p>
    <w:p w14:paraId="04257F12" w14:textId="77777777" w:rsidR="009624A6" w:rsidRPr="00DF4E66" w:rsidRDefault="009624A6" w:rsidP="00F92FCC">
      <w:pPr>
        <w:jc w:val="both"/>
        <w:rPr>
          <w:rFonts w:ascii="&gt;#â˛" w:eastAsiaTheme="minorHAnsi" w:hAnsi="&gt;#â˛" w:cs="&gt;#â˛"/>
          <w:lang w:eastAsia="en-US"/>
        </w:rPr>
      </w:pPr>
    </w:p>
    <w:p w14:paraId="55C5C407" w14:textId="4C66655C" w:rsidR="009624A6" w:rsidRPr="00F34E1A" w:rsidRDefault="009624A6" w:rsidP="009624A6">
      <w:pPr>
        <w:shd w:val="clear" w:color="auto" w:fill="FFFFFF"/>
        <w:spacing w:before="100" w:beforeAutospacing="1" w:after="100" w:afterAutospacing="1"/>
        <w:rPr>
          <w:rFonts w:ascii="Verdana" w:hAnsi="Verdana"/>
          <w:sz w:val="20"/>
          <w:szCs w:val="20"/>
        </w:rPr>
      </w:pPr>
      <w:r w:rsidRPr="00DF4E66">
        <w:rPr>
          <w:rFonts w:ascii="Verdana" w:hAnsi="Verdana"/>
          <w:sz w:val="20"/>
          <w:szCs w:val="20"/>
        </w:rPr>
        <w:t>14.- ¿</w:t>
      </w:r>
      <w:r w:rsidR="0052454F" w:rsidRPr="00DF4E66">
        <w:rPr>
          <w:rFonts w:ascii="Verdana" w:hAnsi="Verdana"/>
          <w:sz w:val="20"/>
          <w:szCs w:val="20"/>
        </w:rPr>
        <w:t>QUÉ ES LA</w:t>
      </w:r>
      <w:r w:rsidRPr="00DF4E66">
        <w:rPr>
          <w:rFonts w:ascii="Verdana" w:hAnsi="Verdana"/>
          <w:sz w:val="20"/>
          <w:szCs w:val="20"/>
        </w:rPr>
        <w:t xml:space="preserve"> VALVULA BÍCUSPIDE</w:t>
      </w:r>
      <w:r w:rsidR="0052454F" w:rsidRPr="00DF4E66">
        <w:rPr>
          <w:rFonts w:ascii="Verdana" w:hAnsi="Verdana"/>
          <w:sz w:val="20"/>
          <w:szCs w:val="20"/>
        </w:rPr>
        <w:t xml:space="preserve"> Y COMO SE VE POR IMAGEN</w:t>
      </w:r>
      <w:r w:rsidRPr="00DF4E66">
        <w:rPr>
          <w:rFonts w:ascii="Verdana" w:hAnsi="Verdana"/>
          <w:sz w:val="20"/>
          <w:szCs w:val="20"/>
        </w:rPr>
        <w:t>?</w:t>
      </w:r>
    </w:p>
    <w:p w14:paraId="5D45ECE0" w14:textId="77777777" w:rsidR="009624A6" w:rsidRPr="00DF4E66" w:rsidRDefault="009624A6" w:rsidP="00F92FCC">
      <w:pPr>
        <w:jc w:val="both"/>
        <w:rPr>
          <w:rFonts w:ascii="&gt;#â˛" w:eastAsiaTheme="minorHAnsi" w:hAnsi="&gt;#â˛" w:cs="&gt;#â˛"/>
          <w:lang w:eastAsia="en-US"/>
        </w:rPr>
      </w:pPr>
    </w:p>
    <w:p w14:paraId="7A3E4B2B" w14:textId="170FDE9C" w:rsidR="009624A6" w:rsidRPr="00DF4E66" w:rsidRDefault="009624A6" w:rsidP="00F92FCC">
      <w:pPr>
        <w:jc w:val="both"/>
      </w:pPr>
      <w:r w:rsidRPr="00DF4E66">
        <w:drawing>
          <wp:inline distT="0" distB="0" distL="0" distR="0" wp14:anchorId="5998B3B7" wp14:editId="523359FB">
            <wp:extent cx="3048000" cy="2286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48000" cy="2286000"/>
                    </a:xfrm>
                    <a:prstGeom prst="rect">
                      <a:avLst/>
                    </a:prstGeom>
                  </pic:spPr>
                </pic:pic>
              </a:graphicData>
            </a:graphic>
          </wp:inline>
        </w:drawing>
      </w:r>
    </w:p>
    <w:p w14:paraId="56DBB3C7" w14:textId="2D8886D8" w:rsidR="009624A6" w:rsidRPr="00DF4E66" w:rsidRDefault="009624A6" w:rsidP="009624A6">
      <w:pPr>
        <w:autoSpaceDE w:val="0"/>
        <w:autoSpaceDN w:val="0"/>
        <w:adjustRightInd w:val="0"/>
        <w:rPr>
          <w:rFonts w:ascii="&gt;#â˛" w:eastAsiaTheme="minorHAnsi" w:hAnsi="&gt;#â˛" w:cs="&gt;#â˛"/>
          <w:lang w:eastAsia="en-US"/>
        </w:rPr>
      </w:pPr>
      <w:r w:rsidRPr="00DF4E66">
        <w:rPr>
          <w:rFonts w:ascii="&gt;#â˛" w:eastAsiaTheme="minorHAnsi" w:hAnsi="&gt;#â˛" w:cs="&gt;#â˛"/>
          <w:lang w:eastAsia="en-US"/>
        </w:rPr>
        <w:t>TC: Flechas: aneurisma de aorta torácica. Círculo: válvula aórtica bicúspide abierta («en boca de</w:t>
      </w:r>
      <w:r w:rsidRPr="00DF4E66">
        <w:rPr>
          <w:rFonts w:ascii="&gt;#â˛" w:eastAsiaTheme="minorHAnsi" w:hAnsi="&gt;#â˛" w:cs="&gt;#â˛"/>
          <w:lang w:eastAsia="en-US"/>
        </w:rPr>
        <w:t xml:space="preserve"> </w:t>
      </w:r>
      <w:r w:rsidRPr="00DF4E66">
        <w:rPr>
          <w:rFonts w:ascii="&gt;#â˛" w:eastAsiaTheme="minorHAnsi" w:hAnsi="&gt;#â˛" w:cs="&gt;#â˛"/>
          <w:lang w:eastAsia="en-US"/>
        </w:rPr>
        <w:t>pez»). Abajo derecha: visión endoscópica 3D de válvula bicúspide.</w:t>
      </w:r>
    </w:p>
    <w:p w14:paraId="69A9D3E0" w14:textId="33321630" w:rsidR="009624A6" w:rsidRPr="00DF4E66" w:rsidRDefault="009624A6" w:rsidP="009624A6">
      <w:pPr>
        <w:autoSpaceDE w:val="0"/>
        <w:autoSpaceDN w:val="0"/>
        <w:adjustRightInd w:val="0"/>
        <w:rPr>
          <w:rFonts w:ascii="&gt;#â˛" w:eastAsiaTheme="minorHAnsi" w:hAnsi="&gt;#â˛" w:cs="&gt;#â˛"/>
          <w:lang w:eastAsia="en-US"/>
        </w:rPr>
      </w:pPr>
    </w:p>
    <w:p w14:paraId="6FE20BAA" w14:textId="77777777" w:rsidR="009624A6" w:rsidRPr="00DF4E66" w:rsidRDefault="009624A6" w:rsidP="009624A6">
      <w:pPr>
        <w:pStyle w:val="NormalWeb"/>
        <w:shd w:val="clear" w:color="auto" w:fill="F9FAFE"/>
        <w:spacing w:before="0" w:beforeAutospacing="0" w:after="300" w:afterAutospacing="0"/>
        <w:rPr>
          <w:rFonts w:ascii="Lato" w:hAnsi="Lato"/>
        </w:rPr>
      </w:pPr>
      <w:r w:rsidRPr="00DF4E66">
        <w:rPr>
          <w:rFonts w:ascii="Lato" w:hAnsi="Lato"/>
          <w:u w:val="single"/>
        </w:rPr>
        <w:t>Válvula aórtica bicúspide</w:t>
      </w:r>
    </w:p>
    <w:p w14:paraId="78430E09" w14:textId="3343678F" w:rsidR="009624A6" w:rsidRPr="00DF4E66" w:rsidRDefault="009624A6" w:rsidP="0052454F">
      <w:pPr>
        <w:rPr>
          <w:rFonts w:ascii="Lato" w:hAnsi="Lato"/>
          <w:shd w:val="clear" w:color="auto" w:fill="F9FAFE"/>
        </w:rPr>
      </w:pPr>
      <w:r w:rsidRPr="00DF4E66">
        <w:rPr>
          <w:rFonts w:ascii="Lato" w:hAnsi="Lato"/>
        </w:rPr>
        <w:t>La válvula aórtica bicúspide es una de las anomalías congénitas más frecuentes. Afecta al 1-2% de la población</w:t>
      </w:r>
      <w:r w:rsidR="0052454F" w:rsidRPr="00DF4E66">
        <w:rPr>
          <w:rFonts w:ascii="Lato" w:hAnsi="Lato"/>
        </w:rPr>
        <w:t xml:space="preserve"> y </w:t>
      </w:r>
      <w:r w:rsidR="0052454F" w:rsidRPr="00DF4E66">
        <w:rPr>
          <w:rFonts w:ascii="Lato" w:hAnsi="Lato"/>
          <w:b/>
          <w:bCs/>
        </w:rPr>
        <w:t>comúnemente asociada a sídrome de Marfan</w:t>
      </w:r>
      <w:r w:rsidRPr="00DF4E66">
        <w:rPr>
          <w:rFonts w:ascii="Lato" w:hAnsi="Lato"/>
        </w:rPr>
        <w:t>. Condiciona alteraciones en la morfología del flujo y velocidad aórtica que pueden producir degeneración precoz de la válvula, con estenosis, regurgitación o ambas, así como mayor riesgo de endocarditis.</w:t>
      </w:r>
      <w:r w:rsidRPr="00DF4E66">
        <w:rPr>
          <w:rFonts w:ascii="Lato" w:hAnsi="Lato"/>
        </w:rPr>
        <w:t xml:space="preserve"> </w:t>
      </w:r>
      <w:r w:rsidRPr="00DF4E66">
        <w:rPr>
          <w:rFonts w:ascii="Lato" w:hAnsi="Lato"/>
        </w:rPr>
        <w:t>El desarrollo y disposición de las tres velos se altera en el periodo fetal. Hay dos mecanismos de formación de válvulas aórticas bicúspides, la fusión de dos velos de una válvula tricúspide, durante el periodo fetal, que condiciona una válvula bicúspide, con un velo de mayor tamaño que presenta un rafe intermedio. El otro mecanismo es la formación de novo de dos velos. Este último mecanismo es el menos habitual (10%) y se asocia con mayor frecuencia a malformaciones de las arterias coronarias y aórticas.</w:t>
      </w:r>
      <w:r w:rsidR="0052454F" w:rsidRPr="00DF4E66">
        <w:rPr>
          <w:rFonts w:ascii="Lato" w:hAnsi="Lato"/>
        </w:rPr>
        <w:t xml:space="preserve"> </w:t>
      </w:r>
      <w:r w:rsidR="0052454F" w:rsidRPr="00DF4E66">
        <w:rPr>
          <w:rFonts w:ascii="Lato" w:hAnsi="Lato"/>
          <w:shd w:val="clear" w:color="auto" w:fill="F9FAFE"/>
        </w:rPr>
        <w:t xml:space="preserve">Las alteraciones </w:t>
      </w:r>
      <w:r w:rsidR="0052454F" w:rsidRPr="00DF4E66">
        <w:rPr>
          <w:rFonts w:ascii="Lato" w:hAnsi="Lato"/>
          <w:shd w:val="clear" w:color="auto" w:fill="F9FAFE"/>
        </w:rPr>
        <w:lastRenderedPageBreak/>
        <w:t xml:space="preserve">hemodinámicas en el flujo </w:t>
      </w:r>
      <w:r w:rsidR="0052454F" w:rsidRPr="00DF4E66">
        <w:rPr>
          <w:rFonts w:ascii="Lato" w:hAnsi="Lato"/>
          <w:b/>
          <w:bCs/>
          <w:shd w:val="clear" w:color="auto" w:fill="F9FAFE"/>
        </w:rPr>
        <w:t>condicionan con frecuencia dilatación de la aorta ascendente</w:t>
      </w:r>
      <w:r w:rsidR="0052454F" w:rsidRPr="00DF4E66">
        <w:rPr>
          <w:rFonts w:ascii="Lato" w:hAnsi="Lato"/>
          <w:shd w:val="clear" w:color="auto" w:fill="F9FAFE"/>
        </w:rPr>
        <w:t>, incluso en ausencia de estenosis aórtica.</w:t>
      </w:r>
    </w:p>
    <w:p w14:paraId="3EBA94CE" w14:textId="77777777" w:rsidR="0052454F" w:rsidRPr="00DF4E66" w:rsidRDefault="0052454F" w:rsidP="0052454F"/>
    <w:p w14:paraId="3F7E62D9" w14:textId="77777777" w:rsidR="009624A6" w:rsidRPr="00DF4E66" w:rsidRDefault="009624A6" w:rsidP="009624A6">
      <w:pPr>
        <w:pStyle w:val="NormalWeb"/>
        <w:shd w:val="clear" w:color="auto" w:fill="F9FAFE"/>
        <w:spacing w:before="0" w:beforeAutospacing="0" w:after="300" w:afterAutospacing="0"/>
        <w:rPr>
          <w:rFonts w:ascii="Lato" w:hAnsi="Lato"/>
        </w:rPr>
      </w:pPr>
      <w:r w:rsidRPr="00DF4E66">
        <w:rPr>
          <w:rFonts w:ascii="Lato" w:hAnsi="Lato"/>
        </w:rPr>
        <w:t>Se clasifican en función de la presencia o ausencia de rafe y de qué valvas se encuentren fusionadas.</w:t>
      </w:r>
    </w:p>
    <w:p w14:paraId="2078314A" w14:textId="59101187" w:rsidR="0052454F" w:rsidRPr="00DF4E66" w:rsidRDefault="0052454F" w:rsidP="0052454F">
      <w:r w:rsidRPr="00DF4E66">
        <w:fldChar w:fldCharType="begin"/>
      </w:r>
      <w:r w:rsidRPr="00DF4E66">
        <w:instrText xml:space="preserve"> INCLUDEPICTURE "https://epos.myesr.org/posterimage/esr/seram2012/113794/media/456732" \* MERGEFORMATINET </w:instrText>
      </w:r>
      <w:r w:rsidRPr="00DF4E66">
        <w:fldChar w:fldCharType="separate"/>
      </w:r>
      <w:r w:rsidRPr="00DF4E66">
        <w:rPr>
          <w:noProof/>
        </w:rPr>
        <w:drawing>
          <wp:inline distT="0" distB="0" distL="0" distR="0" wp14:anchorId="0C512800" wp14:editId="1938891E">
            <wp:extent cx="5612130" cy="4207510"/>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4207510"/>
                    </a:xfrm>
                    <a:prstGeom prst="rect">
                      <a:avLst/>
                    </a:prstGeom>
                    <a:noFill/>
                    <a:ln>
                      <a:noFill/>
                    </a:ln>
                  </pic:spPr>
                </pic:pic>
              </a:graphicData>
            </a:graphic>
          </wp:inline>
        </w:drawing>
      </w:r>
      <w:r w:rsidRPr="00DF4E66">
        <w:fldChar w:fldCharType="end"/>
      </w:r>
    </w:p>
    <w:p w14:paraId="65AD48C1" w14:textId="5A3F85DF" w:rsidR="0052454F" w:rsidRDefault="0052454F" w:rsidP="0052454F"/>
    <w:p w14:paraId="51FFA4FC" w14:textId="4A6A5C16" w:rsidR="00DF4E66" w:rsidRDefault="00DF4E66" w:rsidP="0052454F">
      <w:r>
        <w:t>16.- ¿QUÉ ES EL SÍNDROME DE TURNER?</w:t>
      </w:r>
    </w:p>
    <w:p w14:paraId="21D0E1B9" w14:textId="1EC4DD42" w:rsidR="00DF4E66" w:rsidRDefault="00DF4E66" w:rsidP="00DF4E66">
      <w:pPr>
        <w:shd w:val="clear" w:color="auto" w:fill="FFFFFF"/>
        <w:textAlignment w:val="baseline"/>
        <w:rPr>
          <w:rFonts w:ascii="Arial" w:hAnsi="Arial" w:cs="Arial"/>
          <w:sz w:val="22"/>
          <w:szCs w:val="22"/>
        </w:rPr>
      </w:pPr>
      <w:r>
        <w:rPr>
          <w:rFonts w:ascii="Arial" w:hAnsi="Arial" w:cs="Arial"/>
          <w:sz w:val="22"/>
          <w:szCs w:val="22"/>
        </w:rPr>
        <w:t>S</w:t>
      </w:r>
      <w:r>
        <w:rPr>
          <w:rFonts w:ascii="Arial" w:hAnsi="Arial" w:cs="Arial"/>
          <w:sz w:val="22"/>
          <w:szCs w:val="22"/>
        </w:rPr>
        <w:t>e caracteriza por la asociaci</w:t>
      </w:r>
      <w:r>
        <w:rPr>
          <w:rFonts w:ascii="Arial" w:hAnsi="Arial" w:cs="Arial"/>
          <w:sz w:val="22"/>
          <w:szCs w:val="22"/>
        </w:rPr>
        <w:t>ó</w:t>
      </w:r>
      <w:r>
        <w:rPr>
          <w:rFonts w:ascii="Arial" w:hAnsi="Arial" w:cs="Arial"/>
          <w:sz w:val="22"/>
          <w:szCs w:val="22"/>
        </w:rPr>
        <w:t>n</w:t>
      </w:r>
      <w:r w:rsidR="00906B9A">
        <w:rPr>
          <w:rFonts w:ascii="Arial" w:hAnsi="Arial" w:cs="Arial"/>
          <w:sz w:val="22"/>
          <w:szCs w:val="22"/>
        </w:rPr>
        <w:t xml:space="preserve"> </w:t>
      </w:r>
      <w:r>
        <w:rPr>
          <w:rFonts w:ascii="Arial" w:hAnsi="Arial" w:cs="Arial"/>
          <w:sz w:val="22"/>
          <w:szCs w:val="22"/>
        </w:rPr>
        <w:t>de determinados hallazgos cl</w:t>
      </w:r>
      <w:r w:rsidR="00906B9A">
        <w:rPr>
          <w:rFonts w:ascii="Arial" w:hAnsi="Arial" w:cs="Arial"/>
          <w:sz w:val="22"/>
          <w:szCs w:val="22"/>
        </w:rPr>
        <w:t>í</w:t>
      </w:r>
      <w:r>
        <w:rPr>
          <w:rFonts w:ascii="Arial" w:hAnsi="Arial" w:cs="Arial"/>
          <w:sz w:val="22"/>
          <w:szCs w:val="22"/>
        </w:rPr>
        <w:t>nicos y la ausencia total o</w:t>
      </w:r>
    </w:p>
    <w:p w14:paraId="64EAE4C9" w14:textId="334C6B82" w:rsidR="00DF4E66" w:rsidRDefault="00DF4E66" w:rsidP="00906B9A">
      <w:pPr>
        <w:shd w:val="clear" w:color="auto" w:fill="FFFFFF"/>
        <w:textAlignment w:val="baseline"/>
        <w:rPr>
          <w:rFonts w:ascii="Arial" w:hAnsi="Arial" w:cs="Arial"/>
          <w:sz w:val="22"/>
          <w:szCs w:val="22"/>
        </w:rPr>
      </w:pPr>
      <w:r>
        <w:rPr>
          <w:rFonts w:ascii="Arial" w:hAnsi="Arial" w:cs="Arial"/>
          <w:sz w:val="22"/>
          <w:szCs w:val="22"/>
        </w:rPr>
        <w:t xml:space="preserve">parcial de un cromosoma X </w:t>
      </w:r>
    </w:p>
    <w:p w14:paraId="15C5327F" w14:textId="78D6791F" w:rsidR="00906B9A" w:rsidRDefault="00906B9A" w:rsidP="00906B9A">
      <w:pPr>
        <w:shd w:val="clear" w:color="auto" w:fill="FFFFFF"/>
        <w:textAlignment w:val="baseline"/>
        <w:rPr>
          <w:rFonts w:ascii="Arial" w:hAnsi="Arial" w:cs="Arial"/>
          <w:sz w:val="14"/>
          <w:szCs w:val="14"/>
        </w:rPr>
      </w:pPr>
    </w:p>
    <w:p w14:paraId="56F19A77" w14:textId="0DBF98FB" w:rsidR="00903D8C" w:rsidRDefault="00903D8C" w:rsidP="00906B9A">
      <w:pPr>
        <w:shd w:val="clear" w:color="auto" w:fill="FFFFFF"/>
        <w:textAlignment w:val="baseline"/>
        <w:rPr>
          <w:rFonts w:ascii="Arial" w:hAnsi="Arial" w:cs="Arial"/>
          <w:sz w:val="14"/>
          <w:szCs w:val="14"/>
        </w:rPr>
      </w:pPr>
    </w:p>
    <w:p w14:paraId="0A5C8F2F" w14:textId="532510C6" w:rsidR="00903D8C" w:rsidRDefault="00903D8C" w:rsidP="00906B9A">
      <w:pPr>
        <w:shd w:val="clear" w:color="auto" w:fill="FFFFFF"/>
        <w:textAlignment w:val="baseline"/>
        <w:rPr>
          <w:rFonts w:ascii="Arial" w:hAnsi="Arial" w:cs="Arial"/>
          <w:sz w:val="14"/>
          <w:szCs w:val="14"/>
        </w:rPr>
      </w:pPr>
    </w:p>
    <w:p w14:paraId="7455FE48" w14:textId="77777777" w:rsidR="00903D8C" w:rsidRDefault="00903D8C" w:rsidP="00DF4E66">
      <w:pPr>
        <w:shd w:val="clear" w:color="auto" w:fill="FFFFFF"/>
        <w:textAlignment w:val="baseline"/>
        <w:rPr>
          <w:rFonts w:ascii="Arial" w:hAnsi="Arial" w:cs="Arial"/>
          <w:sz w:val="22"/>
          <w:szCs w:val="22"/>
        </w:rPr>
      </w:pPr>
      <w:r>
        <w:rPr>
          <w:rFonts w:ascii="Arial" w:hAnsi="Arial" w:cs="Arial"/>
          <w:sz w:val="22"/>
          <w:szCs w:val="22"/>
        </w:rPr>
        <w:t>17.- ¿QUÉ OCASIÓNA EL SÍNDROMER DE TURNER?</w:t>
      </w:r>
    </w:p>
    <w:p w14:paraId="0ACF2454" w14:textId="7104FD3B" w:rsidR="00DF4E66" w:rsidRDefault="00903D8C" w:rsidP="00DF4E66">
      <w:pPr>
        <w:shd w:val="clear" w:color="auto" w:fill="FFFFFF"/>
        <w:textAlignment w:val="baseline"/>
        <w:rPr>
          <w:rFonts w:ascii="Arial" w:hAnsi="Arial" w:cs="Arial"/>
          <w:sz w:val="22"/>
          <w:szCs w:val="22"/>
        </w:rPr>
      </w:pPr>
      <w:r>
        <w:rPr>
          <w:rFonts w:ascii="Arial" w:hAnsi="Arial" w:cs="Arial"/>
          <w:sz w:val="22"/>
          <w:szCs w:val="22"/>
        </w:rPr>
        <w:t>Ocasiona</w:t>
      </w:r>
      <w:r w:rsidR="00906B9A">
        <w:rPr>
          <w:rFonts w:ascii="Arial" w:hAnsi="Arial" w:cs="Arial"/>
          <w:sz w:val="22"/>
          <w:szCs w:val="22"/>
        </w:rPr>
        <w:t xml:space="preserve"> </w:t>
      </w:r>
      <w:r w:rsidR="00DF4E66">
        <w:rPr>
          <w:rFonts w:ascii="Arial" w:hAnsi="Arial" w:cs="Arial"/>
          <w:sz w:val="22"/>
          <w:szCs w:val="22"/>
        </w:rPr>
        <w:t>disgenesia gonadal</w:t>
      </w:r>
      <w:r w:rsidR="00906B9A">
        <w:rPr>
          <w:rFonts w:ascii="Arial" w:hAnsi="Arial" w:cs="Arial"/>
          <w:sz w:val="22"/>
          <w:szCs w:val="22"/>
        </w:rPr>
        <w:t xml:space="preserve"> (ovárica) </w:t>
      </w:r>
      <w:r>
        <w:rPr>
          <w:rFonts w:ascii="Arial" w:hAnsi="Arial" w:cs="Arial"/>
          <w:sz w:val="22"/>
          <w:szCs w:val="22"/>
        </w:rPr>
        <w:t>que</w:t>
      </w:r>
      <w:r w:rsidR="00DF4E66">
        <w:rPr>
          <w:rFonts w:ascii="Arial" w:hAnsi="Arial" w:cs="Arial"/>
          <w:sz w:val="22"/>
          <w:szCs w:val="22"/>
        </w:rPr>
        <w:t xml:space="preserve"> se relaciona con la haploinsuficiencia de determinados genes en el cromosoma X</w:t>
      </w:r>
      <w:r w:rsidR="00906B9A">
        <w:rPr>
          <w:rFonts w:ascii="Arial" w:hAnsi="Arial" w:cs="Arial"/>
          <w:sz w:val="22"/>
          <w:szCs w:val="22"/>
        </w:rPr>
        <w:t xml:space="preserve">, lo que </w:t>
      </w:r>
      <w:r w:rsidR="00DF4E66">
        <w:rPr>
          <w:rFonts w:ascii="Arial" w:hAnsi="Arial" w:cs="Arial"/>
          <w:sz w:val="22"/>
          <w:szCs w:val="22"/>
        </w:rPr>
        <w:t>provoca elevaci</w:t>
      </w:r>
      <w:r w:rsidR="00906B9A">
        <w:rPr>
          <w:rFonts w:ascii="Arial" w:hAnsi="Arial" w:cs="Arial"/>
          <w:sz w:val="22"/>
          <w:szCs w:val="22"/>
        </w:rPr>
        <w:t>ó</w:t>
      </w:r>
      <w:r w:rsidR="00DF4E66">
        <w:rPr>
          <w:rFonts w:ascii="Arial" w:hAnsi="Arial" w:cs="Arial"/>
          <w:sz w:val="22"/>
          <w:szCs w:val="22"/>
        </w:rPr>
        <w:t>n de las gonadotropinas en la primera</w:t>
      </w:r>
      <w:r w:rsidR="00906B9A">
        <w:rPr>
          <w:rFonts w:ascii="Arial" w:hAnsi="Arial" w:cs="Arial"/>
          <w:sz w:val="22"/>
          <w:szCs w:val="22"/>
        </w:rPr>
        <w:t xml:space="preserve"> </w:t>
      </w:r>
      <w:r w:rsidR="00DF4E66">
        <w:rPr>
          <w:rFonts w:ascii="Arial" w:hAnsi="Arial" w:cs="Arial"/>
          <w:sz w:val="22"/>
          <w:szCs w:val="22"/>
        </w:rPr>
        <w:t>infancia y, a partir de la edad puberal, produce amenorrea</w:t>
      </w:r>
      <w:r w:rsidR="00906B9A">
        <w:rPr>
          <w:rFonts w:ascii="Arial" w:hAnsi="Arial" w:cs="Arial"/>
          <w:sz w:val="22"/>
          <w:szCs w:val="22"/>
        </w:rPr>
        <w:t xml:space="preserve"> </w:t>
      </w:r>
      <w:r w:rsidR="00DF4E66">
        <w:rPr>
          <w:rFonts w:ascii="Arial" w:hAnsi="Arial" w:cs="Arial"/>
          <w:sz w:val="22"/>
          <w:szCs w:val="22"/>
        </w:rPr>
        <w:t>primaria  e infertilidad</w:t>
      </w:r>
      <w:r w:rsidR="00906B9A">
        <w:rPr>
          <w:rFonts w:ascii="Arial" w:hAnsi="Arial" w:cs="Arial"/>
          <w:sz w:val="22"/>
          <w:szCs w:val="22"/>
        </w:rPr>
        <w:t>.</w:t>
      </w:r>
    </w:p>
    <w:p w14:paraId="2389F2CD" w14:textId="7AC56658" w:rsidR="009624A6" w:rsidRDefault="009624A6" w:rsidP="009624A6">
      <w:pPr>
        <w:autoSpaceDE w:val="0"/>
        <w:autoSpaceDN w:val="0"/>
        <w:adjustRightInd w:val="0"/>
      </w:pPr>
    </w:p>
    <w:p w14:paraId="1ABA1B2D" w14:textId="62E48FC9" w:rsidR="00903D8C" w:rsidRDefault="00903D8C" w:rsidP="00903D8C">
      <w:pPr>
        <w:shd w:val="clear" w:color="auto" w:fill="FFFFFF"/>
        <w:textAlignment w:val="baseline"/>
        <w:rPr>
          <w:rFonts w:ascii="Arial" w:hAnsi="Arial" w:cs="Arial"/>
          <w:sz w:val="22"/>
          <w:szCs w:val="22"/>
        </w:rPr>
      </w:pPr>
      <w:r>
        <w:rPr>
          <w:rFonts w:ascii="Arial" w:hAnsi="Arial" w:cs="Arial"/>
          <w:sz w:val="22"/>
          <w:szCs w:val="22"/>
        </w:rPr>
        <w:t>17.- ¿</w:t>
      </w:r>
      <w:r>
        <w:rPr>
          <w:rFonts w:ascii="Arial" w:hAnsi="Arial" w:cs="Arial"/>
          <w:sz w:val="22"/>
          <w:szCs w:val="22"/>
        </w:rPr>
        <w:t>CARACTERÍSTICAS CLÍNICAS</w:t>
      </w:r>
      <w:r>
        <w:rPr>
          <w:rFonts w:ascii="Arial" w:hAnsi="Arial" w:cs="Arial"/>
          <w:sz w:val="22"/>
          <w:szCs w:val="22"/>
        </w:rPr>
        <w:t xml:space="preserve"> </w:t>
      </w:r>
      <w:r>
        <w:rPr>
          <w:rFonts w:ascii="Arial" w:hAnsi="Arial" w:cs="Arial"/>
          <w:sz w:val="22"/>
          <w:szCs w:val="22"/>
        </w:rPr>
        <w:t>D</w:t>
      </w:r>
      <w:r>
        <w:rPr>
          <w:rFonts w:ascii="Arial" w:hAnsi="Arial" w:cs="Arial"/>
          <w:sz w:val="22"/>
          <w:szCs w:val="22"/>
        </w:rPr>
        <w:t>EL SÍNDROMER DE TURNER?</w:t>
      </w:r>
    </w:p>
    <w:p w14:paraId="70FF6324" w14:textId="4862F9ED" w:rsidR="00906B9A" w:rsidRDefault="00903D8C" w:rsidP="009624A6">
      <w:pPr>
        <w:autoSpaceDE w:val="0"/>
        <w:autoSpaceDN w:val="0"/>
        <w:adjustRightInd w:val="0"/>
      </w:pPr>
      <w:r>
        <w:rPr>
          <w:noProof/>
        </w:rPr>
        <w:lastRenderedPageBreak/>
        <w:drawing>
          <wp:inline distT="0" distB="0" distL="0" distR="0" wp14:anchorId="787D9699" wp14:editId="4F99D1E2">
            <wp:extent cx="5612130" cy="7665085"/>
            <wp:effectExtent l="0" t="0" r="127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7">
                      <a:extLst>
                        <a:ext uri="{28A0092B-C50C-407E-A947-70E740481C1C}">
                          <a14:useLocalDpi xmlns:a14="http://schemas.microsoft.com/office/drawing/2010/main" val="0"/>
                        </a:ext>
                      </a:extLst>
                    </a:blip>
                    <a:stretch>
                      <a:fillRect/>
                    </a:stretch>
                  </pic:blipFill>
                  <pic:spPr>
                    <a:xfrm>
                      <a:off x="0" y="0"/>
                      <a:ext cx="5612130" cy="7665085"/>
                    </a:xfrm>
                    <a:prstGeom prst="rect">
                      <a:avLst/>
                    </a:prstGeom>
                  </pic:spPr>
                </pic:pic>
              </a:graphicData>
            </a:graphic>
          </wp:inline>
        </w:drawing>
      </w:r>
    </w:p>
    <w:p w14:paraId="7172A821" w14:textId="77777777" w:rsidR="00903D8C" w:rsidRDefault="00903D8C" w:rsidP="00903D8C">
      <w:pPr>
        <w:shd w:val="clear" w:color="auto" w:fill="FFFFFF"/>
        <w:textAlignment w:val="baseline"/>
        <w:rPr>
          <w:rFonts w:ascii="Arial" w:hAnsi="Arial" w:cs="Arial"/>
          <w:sz w:val="22"/>
          <w:szCs w:val="22"/>
        </w:rPr>
      </w:pPr>
    </w:p>
    <w:p w14:paraId="2BBB39BD" w14:textId="77777777" w:rsidR="00903D8C" w:rsidRDefault="00903D8C" w:rsidP="00903D8C">
      <w:pPr>
        <w:shd w:val="clear" w:color="auto" w:fill="FFFFFF"/>
        <w:textAlignment w:val="baseline"/>
        <w:rPr>
          <w:rFonts w:ascii="Arial" w:hAnsi="Arial" w:cs="Arial"/>
          <w:sz w:val="22"/>
          <w:szCs w:val="22"/>
        </w:rPr>
      </w:pPr>
    </w:p>
    <w:p w14:paraId="29C6334A" w14:textId="2732F32E" w:rsidR="00903D8C" w:rsidRDefault="00903D8C" w:rsidP="00903D8C">
      <w:pPr>
        <w:shd w:val="clear" w:color="auto" w:fill="FFFFFF"/>
        <w:textAlignment w:val="baseline"/>
        <w:rPr>
          <w:rFonts w:ascii="Arial" w:hAnsi="Arial" w:cs="Arial"/>
          <w:sz w:val="22"/>
          <w:szCs w:val="22"/>
        </w:rPr>
      </w:pPr>
      <w:r>
        <w:rPr>
          <w:rFonts w:ascii="Arial" w:hAnsi="Arial" w:cs="Arial"/>
          <w:sz w:val="22"/>
          <w:szCs w:val="22"/>
        </w:rPr>
        <w:lastRenderedPageBreak/>
        <w:t xml:space="preserve">19.- ¿CUÁLES SON LOS DATOS </w:t>
      </w:r>
      <w:r w:rsidR="00F43A6C">
        <w:rPr>
          <w:rFonts w:ascii="Arial" w:hAnsi="Arial" w:cs="Arial"/>
          <w:sz w:val="22"/>
          <w:szCs w:val="22"/>
        </w:rPr>
        <w:t xml:space="preserve">CLÍNICOS </w:t>
      </w:r>
      <w:r>
        <w:rPr>
          <w:rFonts w:ascii="Arial" w:hAnsi="Arial" w:cs="Arial"/>
          <w:sz w:val="22"/>
          <w:szCs w:val="22"/>
        </w:rPr>
        <w:t xml:space="preserve">QUE INDICARIAN LA REALIZACIÓN DE CARIOTIPO </w:t>
      </w:r>
      <w:r w:rsidR="00F43A6C">
        <w:rPr>
          <w:rFonts w:ascii="Arial" w:hAnsi="Arial" w:cs="Arial"/>
          <w:sz w:val="22"/>
          <w:szCs w:val="22"/>
        </w:rPr>
        <w:t>PARA DESCARTAR SÍNDROME DE TURNER?</w:t>
      </w:r>
    </w:p>
    <w:p w14:paraId="181AE73F" w14:textId="07184782" w:rsidR="00903D8C" w:rsidRDefault="00903D8C" w:rsidP="009624A6">
      <w:pPr>
        <w:autoSpaceDE w:val="0"/>
        <w:autoSpaceDN w:val="0"/>
        <w:adjustRightInd w:val="0"/>
      </w:pPr>
      <w:r>
        <w:rPr>
          <w:noProof/>
        </w:rPr>
        <w:drawing>
          <wp:inline distT="0" distB="0" distL="0" distR="0" wp14:anchorId="0B96B369" wp14:editId="7ED2ABA7">
            <wp:extent cx="5612130" cy="6150610"/>
            <wp:effectExtent l="0" t="0" r="127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8">
                      <a:extLst>
                        <a:ext uri="{28A0092B-C50C-407E-A947-70E740481C1C}">
                          <a14:useLocalDpi xmlns:a14="http://schemas.microsoft.com/office/drawing/2010/main" val="0"/>
                        </a:ext>
                      </a:extLst>
                    </a:blip>
                    <a:stretch>
                      <a:fillRect/>
                    </a:stretch>
                  </pic:blipFill>
                  <pic:spPr>
                    <a:xfrm>
                      <a:off x="0" y="0"/>
                      <a:ext cx="5612130" cy="6150610"/>
                    </a:xfrm>
                    <a:prstGeom prst="rect">
                      <a:avLst/>
                    </a:prstGeom>
                  </pic:spPr>
                </pic:pic>
              </a:graphicData>
            </a:graphic>
          </wp:inline>
        </w:drawing>
      </w:r>
    </w:p>
    <w:p w14:paraId="497C02B2" w14:textId="48686879" w:rsidR="00903D8C" w:rsidRDefault="00903D8C" w:rsidP="009624A6">
      <w:pPr>
        <w:autoSpaceDE w:val="0"/>
        <w:autoSpaceDN w:val="0"/>
        <w:adjustRightInd w:val="0"/>
      </w:pPr>
    </w:p>
    <w:p w14:paraId="52AA7586" w14:textId="13203BFA" w:rsidR="008D2A9F" w:rsidRDefault="008D2A9F" w:rsidP="009624A6">
      <w:pPr>
        <w:autoSpaceDE w:val="0"/>
        <w:autoSpaceDN w:val="0"/>
        <w:adjustRightInd w:val="0"/>
      </w:pPr>
      <w:r>
        <w:t>20.- ¿CUÁL ES EL PAPEL DE IMAGEN EN EL SÍNDROME DE TURNER?</w:t>
      </w:r>
    </w:p>
    <w:p w14:paraId="0ED8DBB2" w14:textId="2BB1C1C8" w:rsidR="00F43A6C" w:rsidRDefault="00F43A6C" w:rsidP="009624A6">
      <w:pPr>
        <w:autoSpaceDE w:val="0"/>
        <w:autoSpaceDN w:val="0"/>
        <w:adjustRightInd w:val="0"/>
      </w:pPr>
      <w:r>
        <w:t xml:space="preserve">A nivel radiológico existen hallazgos características como la osteoporosis carpiana, acortamiento del cuarto metacarpiano, falanges distales en palillo de tambor, ángulo carpal reducido y encaramiento de las </w:t>
      </w:r>
      <w:r w:rsidR="004779B8">
        <w:t>extremidades distales del cúbito y radio.</w:t>
      </w:r>
    </w:p>
    <w:p w14:paraId="4A1EB6A5" w14:textId="61CB1EC5" w:rsidR="00903D8C" w:rsidRPr="008D2A9F" w:rsidRDefault="004779B8" w:rsidP="008D2A9F">
      <w:pPr>
        <w:autoSpaceDE w:val="0"/>
        <w:autoSpaceDN w:val="0"/>
        <w:adjustRightInd w:val="0"/>
        <w:rPr>
          <w:rFonts w:ascii="Arial" w:hAnsi="Arial" w:cs="Arial"/>
          <w:b/>
          <w:bCs/>
          <w:sz w:val="22"/>
          <w:szCs w:val="22"/>
        </w:rPr>
      </w:pPr>
      <w:r>
        <w:t xml:space="preserve">Se asocia a trastornos cardiovasculares como válvula aórtica bicúspide, </w:t>
      </w:r>
      <w:r w:rsidRPr="008D2A9F">
        <w:rPr>
          <w:b/>
          <w:bCs/>
        </w:rPr>
        <w:t>coartación aortica</w:t>
      </w:r>
      <w:r>
        <w:t xml:space="preserve"> y menos frecuente el prolapso mitral. Suelen presentar trastornos renales como rotación, riñón en herradura. </w:t>
      </w:r>
      <w:r w:rsidR="00903D8C" w:rsidRPr="008D2A9F">
        <w:rPr>
          <w:rFonts w:ascii="Arial" w:hAnsi="Arial" w:cs="Arial"/>
          <w:b/>
          <w:bCs/>
          <w:sz w:val="22"/>
          <w:szCs w:val="22"/>
        </w:rPr>
        <w:t>La ecograf</w:t>
      </w:r>
      <w:r w:rsidRPr="008D2A9F">
        <w:rPr>
          <w:rFonts w:ascii="Arial" w:hAnsi="Arial" w:cs="Arial"/>
          <w:b/>
          <w:bCs/>
          <w:sz w:val="22"/>
          <w:szCs w:val="22"/>
        </w:rPr>
        <w:t>í</w:t>
      </w:r>
      <w:r w:rsidR="00903D8C" w:rsidRPr="008D2A9F">
        <w:rPr>
          <w:rFonts w:ascii="Arial" w:hAnsi="Arial" w:cs="Arial"/>
          <w:b/>
          <w:bCs/>
          <w:sz w:val="22"/>
          <w:szCs w:val="22"/>
        </w:rPr>
        <w:t xml:space="preserve">a </w:t>
      </w:r>
      <w:r w:rsidRPr="008D2A9F">
        <w:rPr>
          <w:rFonts w:ascii="Arial" w:hAnsi="Arial" w:cs="Arial"/>
          <w:b/>
          <w:bCs/>
          <w:sz w:val="22"/>
          <w:szCs w:val="22"/>
        </w:rPr>
        <w:t xml:space="preserve">pélvica orietan sobre la aparición o no de pubertad, al valorar </w:t>
      </w:r>
      <w:r w:rsidR="008D2A9F" w:rsidRPr="008D2A9F">
        <w:rPr>
          <w:rFonts w:ascii="Arial" w:hAnsi="Arial" w:cs="Arial"/>
          <w:b/>
          <w:bCs/>
          <w:sz w:val="22"/>
          <w:szCs w:val="22"/>
        </w:rPr>
        <w:t>utero y ovarios.</w:t>
      </w:r>
    </w:p>
    <w:p w14:paraId="4CC9AD7E" w14:textId="77777777" w:rsidR="00903D8C" w:rsidRPr="00DF4E66" w:rsidRDefault="00903D8C" w:rsidP="009624A6">
      <w:pPr>
        <w:autoSpaceDE w:val="0"/>
        <w:autoSpaceDN w:val="0"/>
        <w:adjustRightInd w:val="0"/>
      </w:pPr>
    </w:p>
    <w:sectPr w:rsidR="00903D8C" w:rsidRPr="00DF4E66" w:rsidSect="005F39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t;#â˛">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4AD"/>
    <w:multiLevelType w:val="multilevel"/>
    <w:tmpl w:val="78E2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95DDA"/>
    <w:multiLevelType w:val="multilevel"/>
    <w:tmpl w:val="F6A22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4"/>
      <w:numFmt w:val="bullet"/>
      <w:lvlText w:val="-"/>
      <w:lvlJc w:val="left"/>
      <w:pPr>
        <w:ind w:left="2160" w:hanging="360"/>
      </w:pPr>
      <w:rPr>
        <w:rFonts w:ascii="&gt;#â˛" w:eastAsiaTheme="minorHAnsi" w:hAnsi="&gt;#â˛" w:cs="&gt;#â˛"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B0EA7"/>
    <w:multiLevelType w:val="multilevel"/>
    <w:tmpl w:val="A3E2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E1A12"/>
    <w:multiLevelType w:val="multilevel"/>
    <w:tmpl w:val="C75EE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307D3"/>
    <w:multiLevelType w:val="multilevel"/>
    <w:tmpl w:val="BB506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D1454"/>
    <w:multiLevelType w:val="multilevel"/>
    <w:tmpl w:val="40A46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1C7895"/>
    <w:multiLevelType w:val="multilevel"/>
    <w:tmpl w:val="7136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E3F8D"/>
    <w:multiLevelType w:val="multilevel"/>
    <w:tmpl w:val="9E34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F073F4"/>
    <w:multiLevelType w:val="multilevel"/>
    <w:tmpl w:val="4106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D868DC"/>
    <w:multiLevelType w:val="multilevel"/>
    <w:tmpl w:val="13A02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A2890"/>
    <w:multiLevelType w:val="multilevel"/>
    <w:tmpl w:val="B016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C36D8"/>
    <w:multiLevelType w:val="multilevel"/>
    <w:tmpl w:val="81C6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4D089E"/>
    <w:multiLevelType w:val="multilevel"/>
    <w:tmpl w:val="AC2A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317514"/>
    <w:multiLevelType w:val="multilevel"/>
    <w:tmpl w:val="C342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1"/>
  </w:num>
  <w:num w:numId="4">
    <w:abstractNumId w:val="9"/>
  </w:num>
  <w:num w:numId="5">
    <w:abstractNumId w:val="5"/>
  </w:num>
  <w:num w:numId="6">
    <w:abstractNumId w:val="3"/>
  </w:num>
  <w:num w:numId="7">
    <w:abstractNumId w:val="10"/>
  </w:num>
  <w:num w:numId="8">
    <w:abstractNumId w:val="12"/>
  </w:num>
  <w:num w:numId="9">
    <w:abstractNumId w:val="2"/>
  </w:num>
  <w:num w:numId="10">
    <w:abstractNumId w:val="0"/>
  </w:num>
  <w:num w:numId="11">
    <w:abstractNumId w:val="7"/>
  </w:num>
  <w:num w:numId="12">
    <w:abstractNumId w:val="6"/>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0A"/>
    <w:rsid w:val="00011109"/>
    <w:rsid w:val="001312BC"/>
    <w:rsid w:val="001C10F8"/>
    <w:rsid w:val="001E78A9"/>
    <w:rsid w:val="00221045"/>
    <w:rsid w:val="00254AEB"/>
    <w:rsid w:val="002E2655"/>
    <w:rsid w:val="00314761"/>
    <w:rsid w:val="00350A9D"/>
    <w:rsid w:val="00373BCD"/>
    <w:rsid w:val="00402A0A"/>
    <w:rsid w:val="004779B8"/>
    <w:rsid w:val="0052454F"/>
    <w:rsid w:val="005F39C5"/>
    <w:rsid w:val="00676549"/>
    <w:rsid w:val="00692F8F"/>
    <w:rsid w:val="00791244"/>
    <w:rsid w:val="00835CA4"/>
    <w:rsid w:val="008C1F96"/>
    <w:rsid w:val="008D2A9F"/>
    <w:rsid w:val="00903D8C"/>
    <w:rsid w:val="00906B9A"/>
    <w:rsid w:val="009624A6"/>
    <w:rsid w:val="00B91CCF"/>
    <w:rsid w:val="00BD505A"/>
    <w:rsid w:val="00C13736"/>
    <w:rsid w:val="00CA5191"/>
    <w:rsid w:val="00DF4E66"/>
    <w:rsid w:val="00EF7970"/>
    <w:rsid w:val="00F334A0"/>
    <w:rsid w:val="00F34E1A"/>
    <w:rsid w:val="00F43A6C"/>
    <w:rsid w:val="00F92FCC"/>
    <w:rsid w:val="00FF3A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2862F"/>
  <w15:chartTrackingRefBased/>
  <w15:docId w15:val="{080175A4-0A61-1043-9C06-2AB60113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4A6"/>
    <w:rPr>
      <w:rFonts w:ascii="Times New Roman" w:eastAsia="Times New Roman" w:hAnsi="Times New Roman" w:cs="Times New Roman"/>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02A0A"/>
    <w:pPr>
      <w:spacing w:before="100" w:beforeAutospacing="1" w:after="100" w:afterAutospacing="1"/>
    </w:pPr>
  </w:style>
  <w:style w:type="character" w:styleId="Textoennegrita">
    <w:name w:val="Strong"/>
    <w:basedOn w:val="Fuentedeprrafopredeter"/>
    <w:uiPriority w:val="22"/>
    <w:qFormat/>
    <w:rsid w:val="00FF3A5B"/>
    <w:rPr>
      <w:b/>
      <w:bCs/>
    </w:rPr>
  </w:style>
  <w:style w:type="paragraph" w:styleId="Prrafodelista">
    <w:name w:val="List Paragraph"/>
    <w:basedOn w:val="Normal"/>
    <w:uiPriority w:val="34"/>
    <w:qFormat/>
    <w:rsid w:val="002E2655"/>
    <w:pPr>
      <w:ind w:left="720"/>
      <w:contextualSpacing/>
    </w:pPr>
  </w:style>
  <w:style w:type="character" w:styleId="Hipervnculo">
    <w:name w:val="Hyperlink"/>
    <w:basedOn w:val="Fuentedeprrafopredeter"/>
    <w:uiPriority w:val="99"/>
    <w:semiHidden/>
    <w:unhideWhenUsed/>
    <w:rsid w:val="002E26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6882">
      <w:bodyDiv w:val="1"/>
      <w:marLeft w:val="0"/>
      <w:marRight w:val="0"/>
      <w:marTop w:val="0"/>
      <w:marBottom w:val="0"/>
      <w:divBdr>
        <w:top w:val="none" w:sz="0" w:space="0" w:color="auto"/>
        <w:left w:val="none" w:sz="0" w:space="0" w:color="auto"/>
        <w:bottom w:val="none" w:sz="0" w:space="0" w:color="auto"/>
        <w:right w:val="none" w:sz="0" w:space="0" w:color="auto"/>
      </w:divBdr>
    </w:div>
    <w:div w:id="101610461">
      <w:bodyDiv w:val="1"/>
      <w:marLeft w:val="0"/>
      <w:marRight w:val="0"/>
      <w:marTop w:val="0"/>
      <w:marBottom w:val="0"/>
      <w:divBdr>
        <w:top w:val="none" w:sz="0" w:space="0" w:color="auto"/>
        <w:left w:val="none" w:sz="0" w:space="0" w:color="auto"/>
        <w:bottom w:val="none" w:sz="0" w:space="0" w:color="auto"/>
        <w:right w:val="none" w:sz="0" w:space="0" w:color="auto"/>
      </w:divBdr>
    </w:div>
    <w:div w:id="746926082">
      <w:bodyDiv w:val="1"/>
      <w:marLeft w:val="0"/>
      <w:marRight w:val="0"/>
      <w:marTop w:val="0"/>
      <w:marBottom w:val="0"/>
      <w:divBdr>
        <w:top w:val="none" w:sz="0" w:space="0" w:color="auto"/>
        <w:left w:val="none" w:sz="0" w:space="0" w:color="auto"/>
        <w:bottom w:val="none" w:sz="0" w:space="0" w:color="auto"/>
        <w:right w:val="none" w:sz="0" w:space="0" w:color="auto"/>
      </w:divBdr>
    </w:div>
    <w:div w:id="760679336">
      <w:bodyDiv w:val="1"/>
      <w:marLeft w:val="0"/>
      <w:marRight w:val="0"/>
      <w:marTop w:val="0"/>
      <w:marBottom w:val="0"/>
      <w:divBdr>
        <w:top w:val="none" w:sz="0" w:space="0" w:color="auto"/>
        <w:left w:val="none" w:sz="0" w:space="0" w:color="auto"/>
        <w:bottom w:val="none" w:sz="0" w:space="0" w:color="auto"/>
        <w:right w:val="none" w:sz="0" w:space="0" w:color="auto"/>
      </w:divBdr>
    </w:div>
    <w:div w:id="851839356">
      <w:bodyDiv w:val="1"/>
      <w:marLeft w:val="0"/>
      <w:marRight w:val="0"/>
      <w:marTop w:val="0"/>
      <w:marBottom w:val="0"/>
      <w:divBdr>
        <w:top w:val="none" w:sz="0" w:space="0" w:color="auto"/>
        <w:left w:val="none" w:sz="0" w:space="0" w:color="auto"/>
        <w:bottom w:val="none" w:sz="0" w:space="0" w:color="auto"/>
        <w:right w:val="none" w:sz="0" w:space="0" w:color="auto"/>
      </w:divBdr>
    </w:div>
    <w:div w:id="866024121">
      <w:bodyDiv w:val="1"/>
      <w:marLeft w:val="0"/>
      <w:marRight w:val="0"/>
      <w:marTop w:val="0"/>
      <w:marBottom w:val="0"/>
      <w:divBdr>
        <w:top w:val="none" w:sz="0" w:space="0" w:color="auto"/>
        <w:left w:val="none" w:sz="0" w:space="0" w:color="auto"/>
        <w:bottom w:val="none" w:sz="0" w:space="0" w:color="auto"/>
        <w:right w:val="none" w:sz="0" w:space="0" w:color="auto"/>
      </w:divBdr>
      <w:divsChild>
        <w:div w:id="1381977364">
          <w:marLeft w:val="0"/>
          <w:marRight w:val="0"/>
          <w:marTop w:val="75"/>
          <w:marBottom w:val="0"/>
          <w:divBdr>
            <w:top w:val="none" w:sz="0" w:space="0" w:color="auto"/>
            <w:left w:val="none" w:sz="0" w:space="0" w:color="auto"/>
            <w:bottom w:val="none" w:sz="0" w:space="0" w:color="auto"/>
            <w:right w:val="none" w:sz="0" w:space="0" w:color="auto"/>
          </w:divBdr>
        </w:div>
        <w:div w:id="1193879367">
          <w:marLeft w:val="0"/>
          <w:marRight w:val="0"/>
          <w:marTop w:val="0"/>
          <w:marBottom w:val="0"/>
          <w:divBdr>
            <w:top w:val="none" w:sz="0" w:space="0" w:color="auto"/>
            <w:left w:val="none" w:sz="0" w:space="0" w:color="auto"/>
            <w:bottom w:val="none" w:sz="0" w:space="0" w:color="auto"/>
            <w:right w:val="none" w:sz="0" w:space="0" w:color="auto"/>
          </w:divBdr>
          <w:divsChild>
            <w:div w:id="363946183">
              <w:marLeft w:val="0"/>
              <w:marRight w:val="0"/>
              <w:marTop w:val="0"/>
              <w:marBottom w:val="0"/>
              <w:divBdr>
                <w:top w:val="none" w:sz="0" w:space="0" w:color="auto"/>
                <w:left w:val="none" w:sz="0" w:space="0" w:color="auto"/>
                <w:bottom w:val="none" w:sz="0" w:space="0" w:color="auto"/>
                <w:right w:val="none" w:sz="0" w:space="0" w:color="auto"/>
              </w:divBdr>
            </w:div>
          </w:divsChild>
        </w:div>
        <w:div w:id="9527277">
          <w:marLeft w:val="0"/>
          <w:marRight w:val="0"/>
          <w:marTop w:val="0"/>
          <w:marBottom w:val="0"/>
          <w:divBdr>
            <w:top w:val="none" w:sz="0" w:space="0" w:color="auto"/>
            <w:left w:val="none" w:sz="0" w:space="0" w:color="auto"/>
            <w:bottom w:val="none" w:sz="0" w:space="0" w:color="auto"/>
            <w:right w:val="none" w:sz="0" w:space="0" w:color="auto"/>
          </w:divBdr>
          <w:divsChild>
            <w:div w:id="13501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24142">
      <w:bodyDiv w:val="1"/>
      <w:marLeft w:val="0"/>
      <w:marRight w:val="0"/>
      <w:marTop w:val="0"/>
      <w:marBottom w:val="0"/>
      <w:divBdr>
        <w:top w:val="none" w:sz="0" w:space="0" w:color="auto"/>
        <w:left w:val="none" w:sz="0" w:space="0" w:color="auto"/>
        <w:bottom w:val="none" w:sz="0" w:space="0" w:color="auto"/>
        <w:right w:val="none" w:sz="0" w:space="0" w:color="auto"/>
      </w:divBdr>
    </w:div>
    <w:div w:id="930502198">
      <w:bodyDiv w:val="1"/>
      <w:marLeft w:val="0"/>
      <w:marRight w:val="0"/>
      <w:marTop w:val="0"/>
      <w:marBottom w:val="0"/>
      <w:divBdr>
        <w:top w:val="none" w:sz="0" w:space="0" w:color="auto"/>
        <w:left w:val="none" w:sz="0" w:space="0" w:color="auto"/>
        <w:bottom w:val="none" w:sz="0" w:space="0" w:color="auto"/>
        <w:right w:val="none" w:sz="0" w:space="0" w:color="auto"/>
      </w:divBdr>
    </w:div>
    <w:div w:id="998115821">
      <w:bodyDiv w:val="1"/>
      <w:marLeft w:val="0"/>
      <w:marRight w:val="0"/>
      <w:marTop w:val="0"/>
      <w:marBottom w:val="0"/>
      <w:divBdr>
        <w:top w:val="none" w:sz="0" w:space="0" w:color="auto"/>
        <w:left w:val="none" w:sz="0" w:space="0" w:color="auto"/>
        <w:bottom w:val="none" w:sz="0" w:space="0" w:color="auto"/>
        <w:right w:val="none" w:sz="0" w:space="0" w:color="auto"/>
      </w:divBdr>
    </w:div>
    <w:div w:id="1071737988">
      <w:bodyDiv w:val="1"/>
      <w:marLeft w:val="0"/>
      <w:marRight w:val="0"/>
      <w:marTop w:val="0"/>
      <w:marBottom w:val="0"/>
      <w:divBdr>
        <w:top w:val="none" w:sz="0" w:space="0" w:color="auto"/>
        <w:left w:val="none" w:sz="0" w:space="0" w:color="auto"/>
        <w:bottom w:val="none" w:sz="0" w:space="0" w:color="auto"/>
        <w:right w:val="none" w:sz="0" w:space="0" w:color="auto"/>
      </w:divBdr>
    </w:div>
    <w:div w:id="1376615785">
      <w:bodyDiv w:val="1"/>
      <w:marLeft w:val="0"/>
      <w:marRight w:val="0"/>
      <w:marTop w:val="0"/>
      <w:marBottom w:val="0"/>
      <w:divBdr>
        <w:top w:val="none" w:sz="0" w:space="0" w:color="auto"/>
        <w:left w:val="none" w:sz="0" w:space="0" w:color="auto"/>
        <w:bottom w:val="none" w:sz="0" w:space="0" w:color="auto"/>
        <w:right w:val="none" w:sz="0" w:space="0" w:color="auto"/>
      </w:divBdr>
    </w:div>
    <w:div w:id="1400981357">
      <w:bodyDiv w:val="1"/>
      <w:marLeft w:val="0"/>
      <w:marRight w:val="0"/>
      <w:marTop w:val="0"/>
      <w:marBottom w:val="0"/>
      <w:divBdr>
        <w:top w:val="none" w:sz="0" w:space="0" w:color="auto"/>
        <w:left w:val="none" w:sz="0" w:space="0" w:color="auto"/>
        <w:bottom w:val="none" w:sz="0" w:space="0" w:color="auto"/>
        <w:right w:val="none" w:sz="0" w:space="0" w:color="auto"/>
      </w:divBdr>
    </w:div>
    <w:div w:id="1454329805">
      <w:bodyDiv w:val="1"/>
      <w:marLeft w:val="0"/>
      <w:marRight w:val="0"/>
      <w:marTop w:val="0"/>
      <w:marBottom w:val="0"/>
      <w:divBdr>
        <w:top w:val="none" w:sz="0" w:space="0" w:color="auto"/>
        <w:left w:val="none" w:sz="0" w:space="0" w:color="auto"/>
        <w:bottom w:val="none" w:sz="0" w:space="0" w:color="auto"/>
        <w:right w:val="none" w:sz="0" w:space="0" w:color="auto"/>
      </w:divBdr>
    </w:div>
    <w:div w:id="1455056246">
      <w:bodyDiv w:val="1"/>
      <w:marLeft w:val="0"/>
      <w:marRight w:val="0"/>
      <w:marTop w:val="0"/>
      <w:marBottom w:val="0"/>
      <w:divBdr>
        <w:top w:val="none" w:sz="0" w:space="0" w:color="auto"/>
        <w:left w:val="none" w:sz="0" w:space="0" w:color="auto"/>
        <w:bottom w:val="none" w:sz="0" w:space="0" w:color="auto"/>
        <w:right w:val="none" w:sz="0" w:space="0" w:color="auto"/>
      </w:divBdr>
    </w:div>
    <w:div w:id="1530069591">
      <w:bodyDiv w:val="1"/>
      <w:marLeft w:val="0"/>
      <w:marRight w:val="0"/>
      <w:marTop w:val="0"/>
      <w:marBottom w:val="0"/>
      <w:divBdr>
        <w:top w:val="none" w:sz="0" w:space="0" w:color="auto"/>
        <w:left w:val="none" w:sz="0" w:space="0" w:color="auto"/>
        <w:bottom w:val="none" w:sz="0" w:space="0" w:color="auto"/>
        <w:right w:val="none" w:sz="0" w:space="0" w:color="auto"/>
      </w:divBdr>
    </w:div>
    <w:div w:id="1669022818">
      <w:bodyDiv w:val="1"/>
      <w:marLeft w:val="0"/>
      <w:marRight w:val="0"/>
      <w:marTop w:val="0"/>
      <w:marBottom w:val="0"/>
      <w:divBdr>
        <w:top w:val="none" w:sz="0" w:space="0" w:color="auto"/>
        <w:left w:val="none" w:sz="0" w:space="0" w:color="auto"/>
        <w:bottom w:val="none" w:sz="0" w:space="0" w:color="auto"/>
        <w:right w:val="none" w:sz="0" w:space="0" w:color="auto"/>
      </w:divBdr>
    </w:div>
    <w:div w:id="1699700940">
      <w:bodyDiv w:val="1"/>
      <w:marLeft w:val="0"/>
      <w:marRight w:val="0"/>
      <w:marTop w:val="0"/>
      <w:marBottom w:val="0"/>
      <w:divBdr>
        <w:top w:val="none" w:sz="0" w:space="0" w:color="auto"/>
        <w:left w:val="none" w:sz="0" w:space="0" w:color="auto"/>
        <w:bottom w:val="none" w:sz="0" w:space="0" w:color="auto"/>
        <w:right w:val="none" w:sz="0" w:space="0" w:color="auto"/>
      </w:divBdr>
    </w:div>
    <w:div w:id="1704744967">
      <w:bodyDiv w:val="1"/>
      <w:marLeft w:val="0"/>
      <w:marRight w:val="0"/>
      <w:marTop w:val="0"/>
      <w:marBottom w:val="0"/>
      <w:divBdr>
        <w:top w:val="none" w:sz="0" w:space="0" w:color="auto"/>
        <w:left w:val="none" w:sz="0" w:space="0" w:color="auto"/>
        <w:bottom w:val="none" w:sz="0" w:space="0" w:color="auto"/>
        <w:right w:val="none" w:sz="0" w:space="0" w:color="auto"/>
      </w:divBdr>
    </w:div>
    <w:div w:id="1749499825">
      <w:bodyDiv w:val="1"/>
      <w:marLeft w:val="0"/>
      <w:marRight w:val="0"/>
      <w:marTop w:val="0"/>
      <w:marBottom w:val="0"/>
      <w:divBdr>
        <w:top w:val="none" w:sz="0" w:space="0" w:color="auto"/>
        <w:left w:val="none" w:sz="0" w:space="0" w:color="auto"/>
        <w:bottom w:val="none" w:sz="0" w:space="0" w:color="auto"/>
        <w:right w:val="none" w:sz="0" w:space="0" w:color="auto"/>
      </w:divBdr>
    </w:div>
    <w:div w:id="1790124236">
      <w:bodyDiv w:val="1"/>
      <w:marLeft w:val="0"/>
      <w:marRight w:val="0"/>
      <w:marTop w:val="0"/>
      <w:marBottom w:val="0"/>
      <w:divBdr>
        <w:top w:val="none" w:sz="0" w:space="0" w:color="auto"/>
        <w:left w:val="none" w:sz="0" w:space="0" w:color="auto"/>
        <w:bottom w:val="none" w:sz="0" w:space="0" w:color="auto"/>
        <w:right w:val="none" w:sz="0" w:space="0" w:color="auto"/>
      </w:divBdr>
    </w:div>
    <w:div w:id="1869641712">
      <w:bodyDiv w:val="1"/>
      <w:marLeft w:val="0"/>
      <w:marRight w:val="0"/>
      <w:marTop w:val="0"/>
      <w:marBottom w:val="0"/>
      <w:divBdr>
        <w:top w:val="none" w:sz="0" w:space="0" w:color="auto"/>
        <w:left w:val="none" w:sz="0" w:space="0" w:color="auto"/>
        <w:bottom w:val="none" w:sz="0" w:space="0" w:color="auto"/>
        <w:right w:val="none" w:sz="0" w:space="0" w:color="auto"/>
      </w:divBdr>
    </w:div>
    <w:div w:id="1903901175">
      <w:bodyDiv w:val="1"/>
      <w:marLeft w:val="0"/>
      <w:marRight w:val="0"/>
      <w:marTop w:val="0"/>
      <w:marBottom w:val="0"/>
      <w:divBdr>
        <w:top w:val="none" w:sz="0" w:space="0" w:color="auto"/>
        <w:left w:val="none" w:sz="0" w:space="0" w:color="auto"/>
        <w:bottom w:val="none" w:sz="0" w:space="0" w:color="auto"/>
        <w:right w:val="none" w:sz="0" w:space="0" w:color="auto"/>
      </w:divBdr>
      <w:divsChild>
        <w:div w:id="795874553">
          <w:marLeft w:val="0"/>
          <w:marRight w:val="0"/>
          <w:marTop w:val="0"/>
          <w:marBottom w:val="0"/>
          <w:divBdr>
            <w:top w:val="none" w:sz="0" w:space="0" w:color="auto"/>
            <w:left w:val="none" w:sz="0" w:space="0" w:color="auto"/>
            <w:bottom w:val="none" w:sz="0" w:space="0" w:color="auto"/>
            <w:right w:val="none" w:sz="0" w:space="0" w:color="auto"/>
          </w:divBdr>
        </w:div>
        <w:div w:id="618800536">
          <w:marLeft w:val="0"/>
          <w:marRight w:val="0"/>
          <w:marTop w:val="0"/>
          <w:marBottom w:val="0"/>
          <w:divBdr>
            <w:top w:val="none" w:sz="0" w:space="0" w:color="auto"/>
            <w:left w:val="none" w:sz="0" w:space="0" w:color="auto"/>
            <w:bottom w:val="none" w:sz="0" w:space="0" w:color="auto"/>
            <w:right w:val="none" w:sz="0" w:space="0" w:color="auto"/>
          </w:divBdr>
        </w:div>
        <w:div w:id="1136683026">
          <w:marLeft w:val="0"/>
          <w:marRight w:val="0"/>
          <w:marTop w:val="0"/>
          <w:marBottom w:val="0"/>
          <w:divBdr>
            <w:top w:val="none" w:sz="0" w:space="0" w:color="auto"/>
            <w:left w:val="none" w:sz="0" w:space="0" w:color="auto"/>
            <w:bottom w:val="none" w:sz="0" w:space="0" w:color="auto"/>
            <w:right w:val="none" w:sz="0" w:space="0" w:color="auto"/>
          </w:divBdr>
        </w:div>
        <w:div w:id="327176318">
          <w:marLeft w:val="0"/>
          <w:marRight w:val="0"/>
          <w:marTop w:val="0"/>
          <w:marBottom w:val="0"/>
          <w:divBdr>
            <w:top w:val="none" w:sz="0" w:space="0" w:color="auto"/>
            <w:left w:val="none" w:sz="0" w:space="0" w:color="auto"/>
            <w:bottom w:val="none" w:sz="0" w:space="0" w:color="auto"/>
            <w:right w:val="none" w:sz="0" w:space="0" w:color="auto"/>
          </w:divBdr>
        </w:div>
        <w:div w:id="510098998">
          <w:marLeft w:val="0"/>
          <w:marRight w:val="0"/>
          <w:marTop w:val="0"/>
          <w:marBottom w:val="0"/>
          <w:divBdr>
            <w:top w:val="none" w:sz="0" w:space="0" w:color="auto"/>
            <w:left w:val="none" w:sz="0" w:space="0" w:color="auto"/>
            <w:bottom w:val="none" w:sz="0" w:space="0" w:color="auto"/>
            <w:right w:val="none" w:sz="0" w:space="0" w:color="auto"/>
          </w:divBdr>
        </w:div>
        <w:div w:id="289282680">
          <w:marLeft w:val="0"/>
          <w:marRight w:val="0"/>
          <w:marTop w:val="0"/>
          <w:marBottom w:val="0"/>
          <w:divBdr>
            <w:top w:val="none" w:sz="0" w:space="0" w:color="auto"/>
            <w:left w:val="none" w:sz="0" w:space="0" w:color="auto"/>
            <w:bottom w:val="none" w:sz="0" w:space="0" w:color="auto"/>
            <w:right w:val="none" w:sz="0" w:space="0" w:color="auto"/>
          </w:divBdr>
        </w:div>
      </w:divsChild>
    </w:div>
    <w:div w:id="1954749649">
      <w:bodyDiv w:val="1"/>
      <w:marLeft w:val="0"/>
      <w:marRight w:val="0"/>
      <w:marTop w:val="0"/>
      <w:marBottom w:val="0"/>
      <w:divBdr>
        <w:top w:val="none" w:sz="0" w:space="0" w:color="auto"/>
        <w:left w:val="none" w:sz="0" w:space="0" w:color="auto"/>
        <w:bottom w:val="none" w:sz="0" w:space="0" w:color="auto"/>
        <w:right w:val="none" w:sz="0" w:space="0" w:color="auto"/>
      </w:divBdr>
      <w:divsChild>
        <w:div w:id="1307010235">
          <w:marLeft w:val="0"/>
          <w:marRight w:val="0"/>
          <w:marTop w:val="0"/>
          <w:marBottom w:val="0"/>
          <w:divBdr>
            <w:top w:val="none" w:sz="0" w:space="0" w:color="auto"/>
            <w:left w:val="none" w:sz="0" w:space="0" w:color="auto"/>
            <w:bottom w:val="none" w:sz="0" w:space="0" w:color="auto"/>
            <w:right w:val="none" w:sz="0" w:space="0" w:color="auto"/>
          </w:divBdr>
        </w:div>
        <w:div w:id="2036494045">
          <w:marLeft w:val="0"/>
          <w:marRight w:val="0"/>
          <w:marTop w:val="0"/>
          <w:marBottom w:val="0"/>
          <w:divBdr>
            <w:top w:val="none" w:sz="0" w:space="0" w:color="auto"/>
            <w:left w:val="none" w:sz="0" w:space="0" w:color="auto"/>
            <w:bottom w:val="none" w:sz="0" w:space="0" w:color="auto"/>
            <w:right w:val="none" w:sz="0" w:space="0" w:color="auto"/>
          </w:divBdr>
        </w:div>
        <w:div w:id="966661690">
          <w:marLeft w:val="0"/>
          <w:marRight w:val="0"/>
          <w:marTop w:val="0"/>
          <w:marBottom w:val="0"/>
          <w:divBdr>
            <w:top w:val="none" w:sz="0" w:space="0" w:color="auto"/>
            <w:left w:val="none" w:sz="0" w:space="0" w:color="auto"/>
            <w:bottom w:val="none" w:sz="0" w:space="0" w:color="auto"/>
            <w:right w:val="none" w:sz="0" w:space="0" w:color="auto"/>
          </w:divBdr>
        </w:div>
        <w:div w:id="1036808245">
          <w:marLeft w:val="0"/>
          <w:marRight w:val="0"/>
          <w:marTop w:val="0"/>
          <w:marBottom w:val="0"/>
          <w:divBdr>
            <w:top w:val="none" w:sz="0" w:space="0" w:color="auto"/>
            <w:left w:val="none" w:sz="0" w:space="0" w:color="auto"/>
            <w:bottom w:val="none" w:sz="0" w:space="0" w:color="auto"/>
            <w:right w:val="none" w:sz="0" w:space="0" w:color="auto"/>
          </w:divBdr>
        </w:div>
        <w:div w:id="1063986451">
          <w:marLeft w:val="0"/>
          <w:marRight w:val="0"/>
          <w:marTop w:val="0"/>
          <w:marBottom w:val="0"/>
          <w:divBdr>
            <w:top w:val="none" w:sz="0" w:space="0" w:color="auto"/>
            <w:left w:val="none" w:sz="0" w:space="0" w:color="auto"/>
            <w:bottom w:val="none" w:sz="0" w:space="0" w:color="auto"/>
            <w:right w:val="none" w:sz="0" w:space="0" w:color="auto"/>
          </w:divBdr>
        </w:div>
        <w:div w:id="1380283772">
          <w:marLeft w:val="0"/>
          <w:marRight w:val="0"/>
          <w:marTop w:val="0"/>
          <w:marBottom w:val="0"/>
          <w:divBdr>
            <w:top w:val="none" w:sz="0" w:space="0" w:color="auto"/>
            <w:left w:val="none" w:sz="0" w:space="0" w:color="auto"/>
            <w:bottom w:val="none" w:sz="0" w:space="0" w:color="auto"/>
            <w:right w:val="none" w:sz="0" w:space="0" w:color="auto"/>
          </w:divBdr>
        </w:div>
        <w:div w:id="883180044">
          <w:marLeft w:val="0"/>
          <w:marRight w:val="0"/>
          <w:marTop w:val="0"/>
          <w:marBottom w:val="0"/>
          <w:divBdr>
            <w:top w:val="none" w:sz="0" w:space="0" w:color="auto"/>
            <w:left w:val="none" w:sz="0" w:space="0" w:color="auto"/>
            <w:bottom w:val="none" w:sz="0" w:space="0" w:color="auto"/>
            <w:right w:val="none" w:sz="0" w:space="0" w:color="auto"/>
          </w:divBdr>
        </w:div>
        <w:div w:id="1876655412">
          <w:marLeft w:val="0"/>
          <w:marRight w:val="0"/>
          <w:marTop w:val="0"/>
          <w:marBottom w:val="0"/>
          <w:divBdr>
            <w:top w:val="none" w:sz="0" w:space="0" w:color="auto"/>
            <w:left w:val="none" w:sz="0" w:space="0" w:color="auto"/>
            <w:bottom w:val="none" w:sz="0" w:space="0" w:color="auto"/>
            <w:right w:val="none" w:sz="0" w:space="0" w:color="auto"/>
          </w:divBdr>
        </w:div>
        <w:div w:id="1476291383">
          <w:marLeft w:val="0"/>
          <w:marRight w:val="0"/>
          <w:marTop w:val="0"/>
          <w:marBottom w:val="0"/>
          <w:divBdr>
            <w:top w:val="none" w:sz="0" w:space="0" w:color="auto"/>
            <w:left w:val="none" w:sz="0" w:space="0" w:color="auto"/>
            <w:bottom w:val="none" w:sz="0" w:space="0" w:color="auto"/>
            <w:right w:val="none" w:sz="0" w:space="0" w:color="auto"/>
          </w:divBdr>
        </w:div>
        <w:div w:id="1308247888">
          <w:marLeft w:val="0"/>
          <w:marRight w:val="0"/>
          <w:marTop w:val="0"/>
          <w:marBottom w:val="0"/>
          <w:divBdr>
            <w:top w:val="none" w:sz="0" w:space="0" w:color="auto"/>
            <w:left w:val="none" w:sz="0" w:space="0" w:color="auto"/>
            <w:bottom w:val="none" w:sz="0" w:space="0" w:color="auto"/>
            <w:right w:val="none" w:sz="0" w:space="0" w:color="auto"/>
          </w:divBdr>
        </w:div>
        <w:div w:id="1744446940">
          <w:marLeft w:val="0"/>
          <w:marRight w:val="0"/>
          <w:marTop w:val="0"/>
          <w:marBottom w:val="0"/>
          <w:divBdr>
            <w:top w:val="none" w:sz="0" w:space="0" w:color="auto"/>
            <w:left w:val="none" w:sz="0" w:space="0" w:color="auto"/>
            <w:bottom w:val="none" w:sz="0" w:space="0" w:color="auto"/>
            <w:right w:val="none" w:sz="0" w:space="0" w:color="auto"/>
          </w:divBdr>
        </w:div>
        <w:div w:id="1911381566">
          <w:marLeft w:val="0"/>
          <w:marRight w:val="0"/>
          <w:marTop w:val="0"/>
          <w:marBottom w:val="0"/>
          <w:divBdr>
            <w:top w:val="none" w:sz="0" w:space="0" w:color="auto"/>
            <w:left w:val="none" w:sz="0" w:space="0" w:color="auto"/>
            <w:bottom w:val="none" w:sz="0" w:space="0" w:color="auto"/>
            <w:right w:val="none" w:sz="0" w:space="0" w:color="auto"/>
          </w:divBdr>
        </w:div>
        <w:div w:id="86386432">
          <w:marLeft w:val="0"/>
          <w:marRight w:val="0"/>
          <w:marTop w:val="0"/>
          <w:marBottom w:val="0"/>
          <w:divBdr>
            <w:top w:val="none" w:sz="0" w:space="0" w:color="auto"/>
            <w:left w:val="none" w:sz="0" w:space="0" w:color="auto"/>
            <w:bottom w:val="none" w:sz="0" w:space="0" w:color="auto"/>
            <w:right w:val="none" w:sz="0" w:space="0" w:color="auto"/>
          </w:divBdr>
        </w:div>
        <w:div w:id="830172689">
          <w:marLeft w:val="0"/>
          <w:marRight w:val="0"/>
          <w:marTop w:val="0"/>
          <w:marBottom w:val="0"/>
          <w:divBdr>
            <w:top w:val="none" w:sz="0" w:space="0" w:color="auto"/>
            <w:left w:val="none" w:sz="0" w:space="0" w:color="auto"/>
            <w:bottom w:val="none" w:sz="0" w:space="0" w:color="auto"/>
            <w:right w:val="none" w:sz="0" w:space="0" w:color="auto"/>
          </w:divBdr>
        </w:div>
        <w:div w:id="750587136">
          <w:marLeft w:val="0"/>
          <w:marRight w:val="0"/>
          <w:marTop w:val="0"/>
          <w:marBottom w:val="0"/>
          <w:divBdr>
            <w:top w:val="none" w:sz="0" w:space="0" w:color="auto"/>
            <w:left w:val="none" w:sz="0" w:space="0" w:color="auto"/>
            <w:bottom w:val="none" w:sz="0" w:space="0" w:color="auto"/>
            <w:right w:val="none" w:sz="0" w:space="0" w:color="auto"/>
          </w:divBdr>
        </w:div>
        <w:div w:id="1151479656">
          <w:marLeft w:val="0"/>
          <w:marRight w:val="0"/>
          <w:marTop w:val="0"/>
          <w:marBottom w:val="0"/>
          <w:divBdr>
            <w:top w:val="none" w:sz="0" w:space="0" w:color="auto"/>
            <w:left w:val="none" w:sz="0" w:space="0" w:color="auto"/>
            <w:bottom w:val="none" w:sz="0" w:space="0" w:color="auto"/>
            <w:right w:val="none" w:sz="0" w:space="0" w:color="auto"/>
          </w:divBdr>
        </w:div>
        <w:div w:id="876700817">
          <w:marLeft w:val="0"/>
          <w:marRight w:val="0"/>
          <w:marTop w:val="0"/>
          <w:marBottom w:val="0"/>
          <w:divBdr>
            <w:top w:val="none" w:sz="0" w:space="0" w:color="auto"/>
            <w:left w:val="none" w:sz="0" w:space="0" w:color="auto"/>
            <w:bottom w:val="none" w:sz="0" w:space="0" w:color="auto"/>
            <w:right w:val="none" w:sz="0" w:space="0" w:color="auto"/>
          </w:divBdr>
        </w:div>
        <w:div w:id="997272053">
          <w:marLeft w:val="0"/>
          <w:marRight w:val="0"/>
          <w:marTop w:val="0"/>
          <w:marBottom w:val="0"/>
          <w:divBdr>
            <w:top w:val="none" w:sz="0" w:space="0" w:color="auto"/>
            <w:left w:val="none" w:sz="0" w:space="0" w:color="auto"/>
            <w:bottom w:val="none" w:sz="0" w:space="0" w:color="auto"/>
            <w:right w:val="none" w:sz="0" w:space="0" w:color="auto"/>
          </w:divBdr>
        </w:div>
        <w:div w:id="1020854806">
          <w:marLeft w:val="0"/>
          <w:marRight w:val="0"/>
          <w:marTop w:val="0"/>
          <w:marBottom w:val="0"/>
          <w:divBdr>
            <w:top w:val="none" w:sz="0" w:space="0" w:color="auto"/>
            <w:left w:val="none" w:sz="0" w:space="0" w:color="auto"/>
            <w:bottom w:val="none" w:sz="0" w:space="0" w:color="auto"/>
            <w:right w:val="none" w:sz="0" w:space="0" w:color="auto"/>
          </w:divBdr>
        </w:div>
        <w:div w:id="450050193">
          <w:marLeft w:val="0"/>
          <w:marRight w:val="0"/>
          <w:marTop w:val="0"/>
          <w:marBottom w:val="0"/>
          <w:divBdr>
            <w:top w:val="none" w:sz="0" w:space="0" w:color="auto"/>
            <w:left w:val="none" w:sz="0" w:space="0" w:color="auto"/>
            <w:bottom w:val="none" w:sz="0" w:space="0" w:color="auto"/>
            <w:right w:val="none" w:sz="0" w:space="0" w:color="auto"/>
          </w:divBdr>
        </w:div>
        <w:div w:id="409158722">
          <w:marLeft w:val="0"/>
          <w:marRight w:val="0"/>
          <w:marTop w:val="0"/>
          <w:marBottom w:val="0"/>
          <w:divBdr>
            <w:top w:val="none" w:sz="0" w:space="0" w:color="auto"/>
            <w:left w:val="none" w:sz="0" w:space="0" w:color="auto"/>
            <w:bottom w:val="none" w:sz="0" w:space="0" w:color="auto"/>
            <w:right w:val="none" w:sz="0" w:space="0" w:color="auto"/>
          </w:divBdr>
        </w:div>
        <w:div w:id="1177578434">
          <w:marLeft w:val="0"/>
          <w:marRight w:val="0"/>
          <w:marTop w:val="0"/>
          <w:marBottom w:val="0"/>
          <w:divBdr>
            <w:top w:val="none" w:sz="0" w:space="0" w:color="auto"/>
            <w:left w:val="none" w:sz="0" w:space="0" w:color="auto"/>
            <w:bottom w:val="none" w:sz="0" w:space="0" w:color="auto"/>
            <w:right w:val="none" w:sz="0" w:space="0" w:color="auto"/>
          </w:divBdr>
        </w:div>
        <w:div w:id="299697109">
          <w:marLeft w:val="0"/>
          <w:marRight w:val="0"/>
          <w:marTop w:val="0"/>
          <w:marBottom w:val="0"/>
          <w:divBdr>
            <w:top w:val="none" w:sz="0" w:space="0" w:color="auto"/>
            <w:left w:val="none" w:sz="0" w:space="0" w:color="auto"/>
            <w:bottom w:val="none" w:sz="0" w:space="0" w:color="auto"/>
            <w:right w:val="none" w:sz="0" w:space="0" w:color="auto"/>
          </w:divBdr>
        </w:div>
        <w:div w:id="2046902799">
          <w:marLeft w:val="0"/>
          <w:marRight w:val="0"/>
          <w:marTop w:val="0"/>
          <w:marBottom w:val="0"/>
          <w:divBdr>
            <w:top w:val="none" w:sz="0" w:space="0" w:color="auto"/>
            <w:left w:val="none" w:sz="0" w:space="0" w:color="auto"/>
            <w:bottom w:val="none" w:sz="0" w:space="0" w:color="auto"/>
            <w:right w:val="none" w:sz="0" w:space="0" w:color="auto"/>
          </w:divBdr>
        </w:div>
        <w:div w:id="1540431723">
          <w:marLeft w:val="0"/>
          <w:marRight w:val="0"/>
          <w:marTop w:val="0"/>
          <w:marBottom w:val="0"/>
          <w:divBdr>
            <w:top w:val="none" w:sz="0" w:space="0" w:color="auto"/>
            <w:left w:val="none" w:sz="0" w:space="0" w:color="auto"/>
            <w:bottom w:val="none" w:sz="0" w:space="0" w:color="auto"/>
            <w:right w:val="none" w:sz="0" w:space="0" w:color="auto"/>
          </w:divBdr>
        </w:div>
        <w:div w:id="1391465254">
          <w:marLeft w:val="0"/>
          <w:marRight w:val="0"/>
          <w:marTop w:val="0"/>
          <w:marBottom w:val="0"/>
          <w:divBdr>
            <w:top w:val="none" w:sz="0" w:space="0" w:color="auto"/>
            <w:left w:val="none" w:sz="0" w:space="0" w:color="auto"/>
            <w:bottom w:val="none" w:sz="0" w:space="0" w:color="auto"/>
            <w:right w:val="none" w:sz="0" w:space="0" w:color="auto"/>
          </w:divBdr>
        </w:div>
        <w:div w:id="441656899">
          <w:marLeft w:val="0"/>
          <w:marRight w:val="0"/>
          <w:marTop w:val="0"/>
          <w:marBottom w:val="0"/>
          <w:divBdr>
            <w:top w:val="none" w:sz="0" w:space="0" w:color="auto"/>
            <w:left w:val="none" w:sz="0" w:space="0" w:color="auto"/>
            <w:bottom w:val="none" w:sz="0" w:space="0" w:color="auto"/>
            <w:right w:val="none" w:sz="0" w:space="0" w:color="auto"/>
          </w:divBdr>
        </w:div>
        <w:div w:id="1691956556">
          <w:marLeft w:val="0"/>
          <w:marRight w:val="0"/>
          <w:marTop w:val="0"/>
          <w:marBottom w:val="0"/>
          <w:divBdr>
            <w:top w:val="none" w:sz="0" w:space="0" w:color="auto"/>
            <w:left w:val="none" w:sz="0" w:space="0" w:color="auto"/>
            <w:bottom w:val="none" w:sz="0" w:space="0" w:color="auto"/>
            <w:right w:val="none" w:sz="0" w:space="0" w:color="auto"/>
          </w:divBdr>
        </w:div>
        <w:div w:id="1100416099">
          <w:marLeft w:val="0"/>
          <w:marRight w:val="0"/>
          <w:marTop w:val="0"/>
          <w:marBottom w:val="0"/>
          <w:divBdr>
            <w:top w:val="none" w:sz="0" w:space="0" w:color="auto"/>
            <w:left w:val="none" w:sz="0" w:space="0" w:color="auto"/>
            <w:bottom w:val="none" w:sz="0" w:space="0" w:color="auto"/>
            <w:right w:val="none" w:sz="0" w:space="0" w:color="auto"/>
          </w:divBdr>
        </w:div>
        <w:div w:id="1221744201">
          <w:marLeft w:val="0"/>
          <w:marRight w:val="0"/>
          <w:marTop w:val="0"/>
          <w:marBottom w:val="0"/>
          <w:divBdr>
            <w:top w:val="none" w:sz="0" w:space="0" w:color="auto"/>
            <w:left w:val="none" w:sz="0" w:space="0" w:color="auto"/>
            <w:bottom w:val="none" w:sz="0" w:space="0" w:color="auto"/>
            <w:right w:val="none" w:sz="0" w:space="0" w:color="auto"/>
          </w:divBdr>
        </w:div>
        <w:div w:id="1642731551">
          <w:marLeft w:val="0"/>
          <w:marRight w:val="0"/>
          <w:marTop w:val="0"/>
          <w:marBottom w:val="0"/>
          <w:divBdr>
            <w:top w:val="none" w:sz="0" w:space="0" w:color="auto"/>
            <w:left w:val="none" w:sz="0" w:space="0" w:color="auto"/>
            <w:bottom w:val="none" w:sz="0" w:space="0" w:color="auto"/>
            <w:right w:val="none" w:sz="0" w:space="0" w:color="auto"/>
          </w:divBdr>
        </w:div>
        <w:div w:id="1917205194">
          <w:marLeft w:val="0"/>
          <w:marRight w:val="0"/>
          <w:marTop w:val="0"/>
          <w:marBottom w:val="0"/>
          <w:divBdr>
            <w:top w:val="none" w:sz="0" w:space="0" w:color="auto"/>
            <w:left w:val="none" w:sz="0" w:space="0" w:color="auto"/>
            <w:bottom w:val="none" w:sz="0" w:space="0" w:color="auto"/>
            <w:right w:val="none" w:sz="0" w:space="0" w:color="auto"/>
          </w:divBdr>
        </w:div>
        <w:div w:id="1899396077">
          <w:marLeft w:val="0"/>
          <w:marRight w:val="0"/>
          <w:marTop w:val="0"/>
          <w:marBottom w:val="0"/>
          <w:divBdr>
            <w:top w:val="none" w:sz="0" w:space="0" w:color="auto"/>
            <w:left w:val="none" w:sz="0" w:space="0" w:color="auto"/>
            <w:bottom w:val="none" w:sz="0" w:space="0" w:color="auto"/>
            <w:right w:val="none" w:sz="0" w:space="0" w:color="auto"/>
          </w:divBdr>
        </w:div>
        <w:div w:id="1400128186">
          <w:marLeft w:val="0"/>
          <w:marRight w:val="0"/>
          <w:marTop w:val="0"/>
          <w:marBottom w:val="0"/>
          <w:divBdr>
            <w:top w:val="none" w:sz="0" w:space="0" w:color="auto"/>
            <w:left w:val="none" w:sz="0" w:space="0" w:color="auto"/>
            <w:bottom w:val="none" w:sz="0" w:space="0" w:color="auto"/>
            <w:right w:val="none" w:sz="0" w:space="0" w:color="auto"/>
          </w:divBdr>
        </w:div>
        <w:div w:id="1852068340">
          <w:marLeft w:val="0"/>
          <w:marRight w:val="0"/>
          <w:marTop w:val="0"/>
          <w:marBottom w:val="0"/>
          <w:divBdr>
            <w:top w:val="none" w:sz="0" w:space="0" w:color="auto"/>
            <w:left w:val="none" w:sz="0" w:space="0" w:color="auto"/>
            <w:bottom w:val="none" w:sz="0" w:space="0" w:color="auto"/>
            <w:right w:val="none" w:sz="0" w:space="0" w:color="auto"/>
          </w:divBdr>
        </w:div>
        <w:div w:id="488399454">
          <w:marLeft w:val="0"/>
          <w:marRight w:val="0"/>
          <w:marTop w:val="0"/>
          <w:marBottom w:val="0"/>
          <w:divBdr>
            <w:top w:val="none" w:sz="0" w:space="0" w:color="auto"/>
            <w:left w:val="none" w:sz="0" w:space="0" w:color="auto"/>
            <w:bottom w:val="none" w:sz="0" w:space="0" w:color="auto"/>
            <w:right w:val="none" w:sz="0" w:space="0" w:color="auto"/>
          </w:divBdr>
        </w:div>
        <w:div w:id="1400441401">
          <w:marLeft w:val="0"/>
          <w:marRight w:val="0"/>
          <w:marTop w:val="0"/>
          <w:marBottom w:val="0"/>
          <w:divBdr>
            <w:top w:val="none" w:sz="0" w:space="0" w:color="auto"/>
            <w:left w:val="none" w:sz="0" w:space="0" w:color="auto"/>
            <w:bottom w:val="none" w:sz="0" w:space="0" w:color="auto"/>
            <w:right w:val="none" w:sz="0" w:space="0" w:color="auto"/>
          </w:divBdr>
        </w:div>
        <w:div w:id="711853297">
          <w:marLeft w:val="0"/>
          <w:marRight w:val="0"/>
          <w:marTop w:val="0"/>
          <w:marBottom w:val="0"/>
          <w:divBdr>
            <w:top w:val="none" w:sz="0" w:space="0" w:color="auto"/>
            <w:left w:val="none" w:sz="0" w:space="0" w:color="auto"/>
            <w:bottom w:val="none" w:sz="0" w:space="0" w:color="auto"/>
            <w:right w:val="none" w:sz="0" w:space="0" w:color="auto"/>
          </w:divBdr>
        </w:div>
        <w:div w:id="207230489">
          <w:marLeft w:val="0"/>
          <w:marRight w:val="0"/>
          <w:marTop w:val="0"/>
          <w:marBottom w:val="0"/>
          <w:divBdr>
            <w:top w:val="none" w:sz="0" w:space="0" w:color="auto"/>
            <w:left w:val="none" w:sz="0" w:space="0" w:color="auto"/>
            <w:bottom w:val="none" w:sz="0" w:space="0" w:color="auto"/>
            <w:right w:val="none" w:sz="0" w:space="0" w:color="auto"/>
          </w:divBdr>
        </w:div>
        <w:div w:id="1082608559">
          <w:marLeft w:val="0"/>
          <w:marRight w:val="0"/>
          <w:marTop w:val="0"/>
          <w:marBottom w:val="0"/>
          <w:divBdr>
            <w:top w:val="none" w:sz="0" w:space="0" w:color="auto"/>
            <w:left w:val="none" w:sz="0" w:space="0" w:color="auto"/>
            <w:bottom w:val="none" w:sz="0" w:space="0" w:color="auto"/>
            <w:right w:val="none" w:sz="0" w:space="0" w:color="auto"/>
          </w:divBdr>
        </w:div>
        <w:div w:id="98567221">
          <w:marLeft w:val="0"/>
          <w:marRight w:val="0"/>
          <w:marTop w:val="0"/>
          <w:marBottom w:val="0"/>
          <w:divBdr>
            <w:top w:val="none" w:sz="0" w:space="0" w:color="auto"/>
            <w:left w:val="none" w:sz="0" w:space="0" w:color="auto"/>
            <w:bottom w:val="none" w:sz="0" w:space="0" w:color="auto"/>
            <w:right w:val="none" w:sz="0" w:space="0" w:color="auto"/>
          </w:divBdr>
        </w:div>
        <w:div w:id="2031101252">
          <w:marLeft w:val="0"/>
          <w:marRight w:val="0"/>
          <w:marTop w:val="0"/>
          <w:marBottom w:val="0"/>
          <w:divBdr>
            <w:top w:val="none" w:sz="0" w:space="0" w:color="auto"/>
            <w:left w:val="none" w:sz="0" w:space="0" w:color="auto"/>
            <w:bottom w:val="none" w:sz="0" w:space="0" w:color="auto"/>
            <w:right w:val="none" w:sz="0" w:space="0" w:color="auto"/>
          </w:divBdr>
        </w:div>
        <w:div w:id="1164391484">
          <w:marLeft w:val="0"/>
          <w:marRight w:val="0"/>
          <w:marTop w:val="0"/>
          <w:marBottom w:val="0"/>
          <w:divBdr>
            <w:top w:val="none" w:sz="0" w:space="0" w:color="auto"/>
            <w:left w:val="none" w:sz="0" w:space="0" w:color="auto"/>
            <w:bottom w:val="none" w:sz="0" w:space="0" w:color="auto"/>
            <w:right w:val="none" w:sz="0" w:space="0" w:color="auto"/>
          </w:divBdr>
        </w:div>
        <w:div w:id="1866095157">
          <w:marLeft w:val="0"/>
          <w:marRight w:val="0"/>
          <w:marTop w:val="0"/>
          <w:marBottom w:val="0"/>
          <w:divBdr>
            <w:top w:val="none" w:sz="0" w:space="0" w:color="auto"/>
            <w:left w:val="none" w:sz="0" w:space="0" w:color="auto"/>
            <w:bottom w:val="none" w:sz="0" w:space="0" w:color="auto"/>
            <w:right w:val="none" w:sz="0" w:space="0" w:color="auto"/>
          </w:divBdr>
        </w:div>
        <w:div w:id="884558839">
          <w:marLeft w:val="0"/>
          <w:marRight w:val="0"/>
          <w:marTop w:val="0"/>
          <w:marBottom w:val="0"/>
          <w:divBdr>
            <w:top w:val="none" w:sz="0" w:space="0" w:color="auto"/>
            <w:left w:val="none" w:sz="0" w:space="0" w:color="auto"/>
            <w:bottom w:val="none" w:sz="0" w:space="0" w:color="auto"/>
            <w:right w:val="none" w:sz="0" w:space="0" w:color="auto"/>
          </w:divBdr>
        </w:div>
      </w:divsChild>
    </w:div>
    <w:div w:id="1966426275">
      <w:bodyDiv w:val="1"/>
      <w:marLeft w:val="0"/>
      <w:marRight w:val="0"/>
      <w:marTop w:val="0"/>
      <w:marBottom w:val="0"/>
      <w:divBdr>
        <w:top w:val="none" w:sz="0" w:space="0" w:color="auto"/>
        <w:left w:val="none" w:sz="0" w:space="0" w:color="auto"/>
        <w:bottom w:val="none" w:sz="0" w:space="0" w:color="auto"/>
        <w:right w:val="none" w:sz="0" w:space="0" w:color="auto"/>
      </w:divBdr>
    </w:div>
    <w:div w:id="2044134353">
      <w:bodyDiv w:val="1"/>
      <w:marLeft w:val="0"/>
      <w:marRight w:val="0"/>
      <w:marTop w:val="0"/>
      <w:marBottom w:val="0"/>
      <w:divBdr>
        <w:top w:val="none" w:sz="0" w:space="0" w:color="auto"/>
        <w:left w:val="none" w:sz="0" w:space="0" w:color="auto"/>
        <w:bottom w:val="none" w:sz="0" w:space="0" w:color="auto"/>
        <w:right w:val="none" w:sz="0" w:space="0" w:color="auto"/>
      </w:divBdr>
      <w:divsChild>
        <w:div w:id="1576360144">
          <w:marLeft w:val="0"/>
          <w:marRight w:val="0"/>
          <w:marTop w:val="75"/>
          <w:marBottom w:val="0"/>
          <w:divBdr>
            <w:top w:val="none" w:sz="0" w:space="0" w:color="auto"/>
            <w:left w:val="none" w:sz="0" w:space="0" w:color="auto"/>
            <w:bottom w:val="none" w:sz="0" w:space="0" w:color="auto"/>
            <w:right w:val="none" w:sz="0" w:space="0" w:color="auto"/>
          </w:divBdr>
        </w:div>
        <w:div w:id="1923174950">
          <w:marLeft w:val="0"/>
          <w:marRight w:val="0"/>
          <w:marTop w:val="0"/>
          <w:marBottom w:val="0"/>
          <w:divBdr>
            <w:top w:val="none" w:sz="0" w:space="0" w:color="auto"/>
            <w:left w:val="none" w:sz="0" w:space="0" w:color="auto"/>
            <w:bottom w:val="none" w:sz="0" w:space="0" w:color="auto"/>
            <w:right w:val="none" w:sz="0" w:space="0" w:color="auto"/>
          </w:divBdr>
          <w:divsChild>
            <w:div w:id="1239243505">
              <w:marLeft w:val="0"/>
              <w:marRight w:val="0"/>
              <w:marTop w:val="0"/>
              <w:marBottom w:val="0"/>
              <w:divBdr>
                <w:top w:val="none" w:sz="0" w:space="0" w:color="auto"/>
                <w:left w:val="none" w:sz="0" w:space="0" w:color="auto"/>
                <w:bottom w:val="none" w:sz="0" w:space="0" w:color="auto"/>
                <w:right w:val="none" w:sz="0" w:space="0" w:color="auto"/>
              </w:divBdr>
            </w:div>
          </w:divsChild>
        </w:div>
        <w:div w:id="654457066">
          <w:marLeft w:val="0"/>
          <w:marRight w:val="0"/>
          <w:marTop w:val="0"/>
          <w:marBottom w:val="0"/>
          <w:divBdr>
            <w:top w:val="none" w:sz="0" w:space="0" w:color="auto"/>
            <w:left w:val="none" w:sz="0" w:space="0" w:color="auto"/>
            <w:bottom w:val="none" w:sz="0" w:space="0" w:color="auto"/>
            <w:right w:val="none" w:sz="0" w:space="0" w:color="auto"/>
          </w:divBdr>
          <w:divsChild>
            <w:div w:id="50281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9416">
      <w:bodyDiv w:val="1"/>
      <w:marLeft w:val="0"/>
      <w:marRight w:val="0"/>
      <w:marTop w:val="0"/>
      <w:marBottom w:val="0"/>
      <w:divBdr>
        <w:top w:val="none" w:sz="0" w:space="0" w:color="auto"/>
        <w:left w:val="none" w:sz="0" w:space="0" w:color="auto"/>
        <w:bottom w:val="none" w:sz="0" w:space="0" w:color="auto"/>
        <w:right w:val="none" w:sz="0" w:space="0" w:color="auto"/>
      </w:divBdr>
    </w:div>
    <w:div w:id="2105949829">
      <w:bodyDiv w:val="1"/>
      <w:marLeft w:val="0"/>
      <w:marRight w:val="0"/>
      <w:marTop w:val="0"/>
      <w:marBottom w:val="0"/>
      <w:divBdr>
        <w:top w:val="none" w:sz="0" w:space="0" w:color="auto"/>
        <w:left w:val="none" w:sz="0" w:space="0" w:color="auto"/>
        <w:bottom w:val="none" w:sz="0" w:space="0" w:color="auto"/>
        <w:right w:val="none" w:sz="0" w:space="0" w:color="auto"/>
      </w:divBdr>
    </w:div>
    <w:div w:id="211709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16</Pages>
  <Words>2700</Words>
  <Characters>14850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FRAUSTO RENTERIA</dc:creator>
  <cp:keywords/>
  <dc:description/>
  <cp:lastModifiedBy>GERARDO FRAUSTO RENTERIA</cp:lastModifiedBy>
  <cp:revision>7</cp:revision>
  <dcterms:created xsi:type="dcterms:W3CDTF">2021-11-22T17:07:00Z</dcterms:created>
  <dcterms:modified xsi:type="dcterms:W3CDTF">2021-11-23T23:09:00Z</dcterms:modified>
</cp:coreProperties>
</file>